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1ED" w:rsidRDefault="00FF78B4">
      <w:pPr>
        <w:pStyle w:val="Heading2"/>
        <w:rPr>
          <w:rFonts w:ascii="Calibri" w:hAnsi="Calibri"/>
          <w:i w:val="0"/>
        </w:rPr>
      </w:pPr>
      <w:r>
        <w:rPr>
          <w:rFonts w:ascii="Calibri" w:hAnsi="Calibri"/>
          <w:i w:val="0"/>
        </w:rPr>
        <w:t>CR-05 - Goals and Outcomes</w:t>
      </w:r>
    </w:p>
    <w:p w:rsidR="001711ED" w:rsidRDefault="00FF78B4">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rsidR="001711ED" w:rsidRDefault="00FF78B4">
      <w:pPr>
        <w:keepNext/>
        <w:widowControl w:val="0"/>
        <w:spacing w:after="0" w:line="240" w:lineRule="auto"/>
      </w:pPr>
      <w:r>
        <w:t>This could be an overview that includes major initiatives and highlights that were proposed and executed throughout the program year.</w:t>
      </w:r>
    </w:p>
    <w:p w:rsidR="001711ED" w:rsidRDefault="001711ED">
      <w:pPr>
        <w:keepNext/>
        <w:widowControl w:val="0"/>
        <w:spacing w:after="0" w:line="240" w:lineRule="auto"/>
        <w:rPr>
          <w:b/>
        </w:rPr>
      </w:pPr>
    </w:p>
    <w:p w:rsidR="001711ED" w:rsidRDefault="00FF78B4">
      <w:pPr>
        <w:widowControl w:val="0"/>
        <w:spacing w:beforeAutospacing="1" w:afterAutospacing="1"/>
        <w:rPr>
          <w:szCs w:val="24"/>
        </w:rPr>
      </w:pPr>
      <w:r>
        <w:t>The City of Gastonia has made use of HUD-issued grants for assisting low to moderate income families with rehabilitating homes with dilapidated core systems (flooring, roofing, HVAC, electrical and plumbing). The City has also utilized funding set aside from previous years to provide funding for a Community Housing Development Organization (CHDO) to construct two new homes which will be utilized for affordable housing opportunities for citizens of Gastonia. With use of CDBG-CV (</w:t>
      </w:r>
      <w:proofErr w:type="spellStart"/>
      <w:r>
        <w:t>Covid</w:t>
      </w:r>
      <w:proofErr w:type="spellEnd"/>
      <w:r>
        <w:t xml:space="preserve"> Relief Funding</w:t>
      </w:r>
      <w:proofErr w:type="gramStart"/>
      <w:r>
        <w:t>) ,</w:t>
      </w:r>
      <w:proofErr w:type="gramEnd"/>
      <w:r>
        <w:t xml:space="preserve"> the City has made efforts in the planning and implementation of shelters at the a community recreation facility and a park. Grants funds were also contributed toward the construction of a multi-family housing facility. Of the 66 units constructed 4 of these will be utilized to assist low-to-moderate income households. </w:t>
      </w:r>
    </w:p>
    <w:p w:rsidR="001711ED" w:rsidRDefault="00FF78B4">
      <w:pPr>
        <w:keepNext/>
        <w:widowControl w:val="0"/>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rsidR="001711ED" w:rsidRDefault="00FF78B4">
      <w:pPr>
        <w:keepNext/>
        <w:widowControl w:val="0"/>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goals.</w:t>
      </w:r>
    </w:p>
    <w:p w:rsidR="001711ED" w:rsidRDefault="001711ED">
      <w:pPr>
        <w:widowControl w:val="0"/>
        <w:rPr>
          <w:b/>
          <w:sz w:val="24"/>
          <w:szCs w:val="24"/>
        </w:rPr>
      </w:pPr>
    </w:p>
    <w:tbl>
      <w:tblPr>
        <w:tblStyle w:val="TableGrid"/>
        <w:tblW w:w="0" w:type="auto"/>
        <w:tblInd w:w="0" w:type="dxa"/>
        <w:tblLook w:val="04A0" w:firstRow="1" w:lastRow="0" w:firstColumn="1" w:lastColumn="0" w:noHBand="0" w:noVBand="1"/>
      </w:tblPr>
      <w:tblGrid>
        <w:gridCol w:w="1231"/>
        <w:gridCol w:w="1230"/>
        <w:gridCol w:w="730"/>
        <w:gridCol w:w="1712"/>
        <w:gridCol w:w="1013"/>
        <w:gridCol w:w="793"/>
        <w:gridCol w:w="773"/>
        <w:gridCol w:w="828"/>
        <w:gridCol w:w="793"/>
        <w:gridCol w:w="758"/>
        <w:gridCol w:w="929"/>
      </w:tblGrid>
      <w:tr w:rsidR="001711ED" w:rsidTr="00351C28">
        <w:tc>
          <w:tcPr>
            <w:tcW w:w="0" w:type="auto"/>
          </w:tcPr>
          <w:p w:rsidR="001711ED" w:rsidRDefault="00FF78B4">
            <w:pPr>
              <w:keepNext/>
              <w:widowControl w:val="0"/>
              <w:spacing w:after="0" w:line="240" w:lineRule="auto"/>
              <w:rPr>
                <w:b/>
              </w:rPr>
            </w:pPr>
            <w:bookmarkStart w:id="0" w:name="_GoBack"/>
            <w:r>
              <w:rPr>
                <w:b/>
              </w:rPr>
              <w:t>Goal</w:t>
            </w:r>
          </w:p>
        </w:tc>
        <w:tc>
          <w:tcPr>
            <w:tcW w:w="0" w:type="auto"/>
          </w:tcPr>
          <w:p w:rsidR="001711ED" w:rsidRDefault="00FF78B4">
            <w:pPr>
              <w:keepNext/>
              <w:widowControl w:val="0"/>
              <w:spacing w:after="0" w:line="240" w:lineRule="auto"/>
              <w:rPr>
                <w:b/>
              </w:rPr>
            </w:pPr>
            <w:r>
              <w:rPr>
                <w:b/>
              </w:rPr>
              <w:t>Category</w:t>
            </w:r>
          </w:p>
        </w:tc>
        <w:tc>
          <w:tcPr>
            <w:tcW w:w="0" w:type="auto"/>
          </w:tcPr>
          <w:p w:rsidR="001711ED" w:rsidRDefault="00FF78B4">
            <w:pPr>
              <w:keepNext/>
              <w:widowControl w:val="0"/>
              <w:spacing w:after="0" w:line="240" w:lineRule="auto"/>
              <w:rPr>
                <w:b/>
              </w:rPr>
            </w:pPr>
            <w:r>
              <w:rPr>
                <w:b/>
              </w:rPr>
              <w:t>Source / Amount</w:t>
            </w:r>
          </w:p>
        </w:tc>
        <w:tc>
          <w:tcPr>
            <w:tcW w:w="0" w:type="auto"/>
          </w:tcPr>
          <w:p w:rsidR="001711ED" w:rsidRDefault="00FF78B4">
            <w:pPr>
              <w:keepNext/>
              <w:widowControl w:val="0"/>
              <w:spacing w:after="0" w:line="240" w:lineRule="auto"/>
              <w:rPr>
                <w:b/>
              </w:rPr>
            </w:pPr>
            <w:r>
              <w:rPr>
                <w:b/>
              </w:rPr>
              <w:t>Indicator</w:t>
            </w:r>
          </w:p>
        </w:tc>
        <w:tc>
          <w:tcPr>
            <w:tcW w:w="0" w:type="auto"/>
          </w:tcPr>
          <w:p w:rsidR="001711ED" w:rsidRDefault="00FF78B4">
            <w:pPr>
              <w:keepNext/>
              <w:widowControl w:val="0"/>
              <w:spacing w:after="0" w:line="240" w:lineRule="auto"/>
              <w:rPr>
                <w:b/>
              </w:rPr>
            </w:pPr>
            <w:r>
              <w:rPr>
                <w:b/>
              </w:rPr>
              <w:t>Unit of Measure</w:t>
            </w:r>
          </w:p>
        </w:tc>
        <w:tc>
          <w:tcPr>
            <w:tcW w:w="0" w:type="auto"/>
          </w:tcPr>
          <w:p w:rsidR="001711ED" w:rsidRDefault="00FF78B4">
            <w:pPr>
              <w:keepNext/>
              <w:widowControl w:val="0"/>
              <w:spacing w:after="0" w:line="240" w:lineRule="auto"/>
              <w:rPr>
                <w:b/>
              </w:rPr>
            </w:pPr>
            <w:r>
              <w:rPr>
                <w:b/>
              </w:rPr>
              <w:t>Expected – Strategic Plan</w:t>
            </w:r>
          </w:p>
        </w:tc>
        <w:tc>
          <w:tcPr>
            <w:tcW w:w="0" w:type="auto"/>
          </w:tcPr>
          <w:p w:rsidR="001711ED" w:rsidRDefault="00FF78B4">
            <w:pPr>
              <w:keepNext/>
              <w:widowControl w:val="0"/>
              <w:spacing w:after="0" w:line="240" w:lineRule="auto"/>
              <w:rPr>
                <w:b/>
              </w:rPr>
            </w:pPr>
            <w:r>
              <w:rPr>
                <w:b/>
              </w:rPr>
              <w:t>Actual – Strategic Plan</w:t>
            </w:r>
          </w:p>
        </w:tc>
        <w:tc>
          <w:tcPr>
            <w:tcW w:w="0" w:type="auto"/>
          </w:tcPr>
          <w:p w:rsidR="001711ED" w:rsidRDefault="00FF78B4">
            <w:pPr>
              <w:keepNext/>
              <w:widowControl w:val="0"/>
              <w:spacing w:after="0" w:line="240" w:lineRule="auto"/>
              <w:rPr>
                <w:b/>
              </w:rPr>
            </w:pPr>
            <w:r>
              <w:rPr>
                <w:b/>
              </w:rPr>
              <w:t>Percent Complete</w:t>
            </w:r>
          </w:p>
        </w:tc>
        <w:tc>
          <w:tcPr>
            <w:tcW w:w="0" w:type="auto"/>
          </w:tcPr>
          <w:p w:rsidR="001711ED" w:rsidRDefault="00FF78B4">
            <w:pPr>
              <w:keepNext/>
              <w:widowControl w:val="0"/>
              <w:spacing w:after="0" w:line="240" w:lineRule="auto"/>
              <w:rPr>
                <w:b/>
              </w:rPr>
            </w:pPr>
            <w:r>
              <w:rPr>
                <w:b/>
              </w:rPr>
              <w:t>Expected – Program Year</w:t>
            </w:r>
          </w:p>
        </w:tc>
        <w:tc>
          <w:tcPr>
            <w:tcW w:w="0" w:type="auto"/>
          </w:tcPr>
          <w:p w:rsidR="001711ED" w:rsidRDefault="00FF78B4">
            <w:pPr>
              <w:keepNext/>
              <w:widowControl w:val="0"/>
              <w:spacing w:after="0" w:line="240" w:lineRule="auto"/>
              <w:rPr>
                <w:b/>
              </w:rPr>
            </w:pPr>
            <w:r>
              <w:rPr>
                <w:b/>
              </w:rPr>
              <w:t>Actual – Program Year</w:t>
            </w:r>
          </w:p>
        </w:tc>
        <w:tc>
          <w:tcPr>
            <w:tcW w:w="0" w:type="auto"/>
          </w:tcPr>
          <w:p w:rsidR="001711ED" w:rsidRDefault="00FF78B4">
            <w:pPr>
              <w:keepNext/>
              <w:widowControl w:val="0"/>
              <w:spacing w:after="0" w:line="240" w:lineRule="auto"/>
              <w:rPr>
                <w:b/>
              </w:rPr>
            </w:pPr>
            <w:r>
              <w:rPr>
                <w:b/>
              </w:rPr>
              <w:t>Percent Complete</w:t>
            </w:r>
          </w:p>
        </w:tc>
      </w:tr>
      <w:tr w:rsidR="001711ED" w:rsidTr="00351C28">
        <w:trPr>
          <w:cantSplit/>
        </w:trPr>
        <w:tc>
          <w:tcPr>
            <w:tcW w:w="0" w:type="auto"/>
            <w:vAlign w:val="center"/>
          </w:tcPr>
          <w:p w:rsidR="001711ED" w:rsidRDefault="00FF78B4">
            <w:pPr>
              <w:spacing w:beforeAutospacing="1" w:afterAutospacing="1"/>
            </w:pPr>
            <w:r>
              <w:rPr>
                <w:color w:val="000000"/>
                <w:sz w:val="22"/>
              </w:rPr>
              <w:t>Demolition and Clearance</w:t>
            </w:r>
          </w:p>
        </w:tc>
        <w:tc>
          <w:tcPr>
            <w:tcW w:w="0" w:type="auto"/>
            <w:vAlign w:val="center"/>
          </w:tcPr>
          <w:p w:rsidR="001711ED" w:rsidRDefault="00FF78B4">
            <w:pPr>
              <w:spacing w:beforeAutospacing="1" w:afterAutospacing="1"/>
            </w:pPr>
            <w:r>
              <w:rPr>
                <w:color w:val="000000"/>
                <w:sz w:val="22"/>
              </w:rPr>
              <w:t>Non-Housing Community Development</w:t>
            </w:r>
          </w:p>
        </w:tc>
        <w:tc>
          <w:tcPr>
            <w:tcW w:w="0" w:type="auto"/>
            <w:vAlign w:val="center"/>
          </w:tcPr>
          <w:p w:rsidR="001711ED" w:rsidRDefault="00FF78B4">
            <w:pPr>
              <w:spacing w:beforeAutospacing="1" w:afterAutospacing="1"/>
            </w:pPr>
            <w:r>
              <w:rPr>
                <w:color w:val="000000"/>
                <w:sz w:val="22"/>
              </w:rPr>
              <w:t>CDBG: $</w:t>
            </w:r>
          </w:p>
        </w:tc>
        <w:tc>
          <w:tcPr>
            <w:tcW w:w="0" w:type="auto"/>
            <w:vAlign w:val="center"/>
          </w:tcPr>
          <w:p w:rsidR="001711ED" w:rsidRDefault="00FF78B4">
            <w:pPr>
              <w:spacing w:beforeAutospacing="1" w:afterAutospacing="1"/>
            </w:pPr>
            <w:r>
              <w:rPr>
                <w:color w:val="000000"/>
                <w:sz w:val="22"/>
              </w:rPr>
              <w:t>Public Facility or Infrastructure Activities other than Low/Moderate Income Housing Benefit</w:t>
            </w:r>
          </w:p>
        </w:tc>
        <w:tc>
          <w:tcPr>
            <w:tcW w:w="0" w:type="auto"/>
            <w:vAlign w:val="center"/>
          </w:tcPr>
          <w:p w:rsidR="001711ED" w:rsidRDefault="00FF78B4">
            <w:pPr>
              <w:spacing w:beforeAutospacing="1" w:afterAutospacing="1"/>
            </w:pPr>
            <w:r>
              <w:rPr>
                <w:color w:val="000000"/>
                <w:sz w:val="22"/>
              </w:rPr>
              <w:t>Persons Assisted</w:t>
            </w:r>
          </w:p>
        </w:tc>
        <w:tc>
          <w:tcPr>
            <w:tcW w:w="0" w:type="auto"/>
            <w:vAlign w:val="center"/>
          </w:tcPr>
          <w:p w:rsidR="001711ED" w:rsidRDefault="00FF78B4">
            <w:pPr>
              <w:spacing w:beforeAutospacing="1" w:afterAutospacing="1"/>
            </w:pPr>
            <w:r>
              <w:rPr>
                <w:color w:val="000000"/>
                <w:sz w:val="22"/>
              </w:rPr>
              <w:t>2500</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0.00%</w:t>
            </w:r>
          </w:p>
        </w:tc>
        <w:tc>
          <w:tcPr>
            <w:tcW w:w="0" w:type="auto"/>
            <w:vAlign w:val="center"/>
          </w:tcPr>
          <w:p w:rsidR="001711ED" w:rsidRDefault="00FF78B4">
            <w:pPr>
              <w:spacing w:beforeAutospacing="1" w:afterAutospacing="1"/>
            </w:pPr>
            <w:r>
              <w:rPr>
                <w:color w:val="000000"/>
                <w:sz w:val="22"/>
              </w:rPr>
              <w:t xml:space="preserve"> </w:t>
            </w:r>
          </w:p>
        </w:tc>
        <w:tc>
          <w:tcPr>
            <w:tcW w:w="0" w:type="auto"/>
            <w:vAlign w:val="center"/>
          </w:tcPr>
          <w:p w:rsidR="001711ED" w:rsidRDefault="00FF78B4">
            <w:pPr>
              <w:spacing w:beforeAutospacing="1" w:afterAutospacing="1"/>
            </w:pPr>
            <w:r>
              <w:rPr>
                <w:color w:val="000000"/>
                <w:sz w:val="22"/>
              </w:rPr>
              <w:t xml:space="preserve"> </w:t>
            </w:r>
          </w:p>
        </w:tc>
        <w:tc>
          <w:tcPr>
            <w:tcW w:w="0" w:type="auto"/>
            <w:vAlign w:val="center"/>
          </w:tcPr>
          <w:p w:rsidR="001711ED" w:rsidRDefault="00FF78B4">
            <w:pPr>
              <w:spacing w:beforeAutospacing="1" w:afterAutospacing="1"/>
            </w:pPr>
            <w:r>
              <w:rPr>
                <w:color w:val="000000"/>
                <w:sz w:val="22"/>
              </w:rPr>
              <w:t xml:space="preserve"> </w:t>
            </w:r>
          </w:p>
        </w:tc>
      </w:tr>
      <w:tr w:rsidR="001711ED" w:rsidTr="00351C28">
        <w:trPr>
          <w:cantSplit/>
        </w:trPr>
        <w:tc>
          <w:tcPr>
            <w:tcW w:w="0" w:type="auto"/>
            <w:vAlign w:val="center"/>
          </w:tcPr>
          <w:p w:rsidR="001711ED" w:rsidRDefault="00FF78B4">
            <w:pPr>
              <w:spacing w:beforeAutospacing="1" w:afterAutospacing="1"/>
            </w:pPr>
            <w:r>
              <w:rPr>
                <w:color w:val="000000"/>
                <w:sz w:val="22"/>
              </w:rPr>
              <w:t>Fair Housing</w:t>
            </w:r>
          </w:p>
        </w:tc>
        <w:tc>
          <w:tcPr>
            <w:tcW w:w="0" w:type="auto"/>
            <w:vAlign w:val="center"/>
          </w:tcPr>
          <w:p w:rsidR="001711ED" w:rsidRDefault="00FF78B4">
            <w:pPr>
              <w:spacing w:beforeAutospacing="1" w:afterAutospacing="1"/>
            </w:pPr>
            <w:r>
              <w:rPr>
                <w:color w:val="000000"/>
                <w:sz w:val="22"/>
              </w:rPr>
              <w:t>Fair Housing</w:t>
            </w:r>
          </w:p>
        </w:tc>
        <w:tc>
          <w:tcPr>
            <w:tcW w:w="0" w:type="auto"/>
            <w:vAlign w:val="center"/>
          </w:tcPr>
          <w:p w:rsidR="001711ED" w:rsidRDefault="00FF78B4">
            <w:pPr>
              <w:spacing w:beforeAutospacing="1" w:afterAutospacing="1"/>
            </w:pPr>
            <w:r>
              <w:rPr>
                <w:color w:val="000000"/>
                <w:sz w:val="22"/>
              </w:rPr>
              <w:t>CDBG: $</w:t>
            </w:r>
          </w:p>
        </w:tc>
        <w:tc>
          <w:tcPr>
            <w:tcW w:w="0" w:type="auto"/>
            <w:vAlign w:val="center"/>
          </w:tcPr>
          <w:p w:rsidR="001711ED" w:rsidRDefault="00FF78B4">
            <w:pPr>
              <w:spacing w:beforeAutospacing="1" w:afterAutospacing="1"/>
            </w:pPr>
            <w:r>
              <w:rPr>
                <w:color w:val="000000"/>
                <w:sz w:val="22"/>
              </w:rPr>
              <w:t>Public service activities other than Low/Moderate Income Housing Benefit</w:t>
            </w:r>
          </w:p>
        </w:tc>
        <w:tc>
          <w:tcPr>
            <w:tcW w:w="0" w:type="auto"/>
            <w:vAlign w:val="center"/>
          </w:tcPr>
          <w:p w:rsidR="001711ED" w:rsidRDefault="00FF78B4">
            <w:pPr>
              <w:spacing w:beforeAutospacing="1" w:afterAutospacing="1"/>
            </w:pPr>
            <w:r>
              <w:rPr>
                <w:color w:val="000000"/>
                <w:sz w:val="22"/>
              </w:rPr>
              <w:t>Persons Assisted</w:t>
            </w:r>
          </w:p>
        </w:tc>
        <w:tc>
          <w:tcPr>
            <w:tcW w:w="0" w:type="auto"/>
            <w:vAlign w:val="center"/>
          </w:tcPr>
          <w:p w:rsidR="001711ED" w:rsidRDefault="00FF78B4">
            <w:pPr>
              <w:spacing w:beforeAutospacing="1" w:afterAutospacing="1"/>
            </w:pPr>
            <w:r>
              <w:rPr>
                <w:color w:val="000000"/>
                <w:sz w:val="22"/>
              </w:rPr>
              <w:t>1750</w:t>
            </w:r>
          </w:p>
        </w:tc>
        <w:tc>
          <w:tcPr>
            <w:tcW w:w="0" w:type="auto"/>
            <w:vAlign w:val="center"/>
          </w:tcPr>
          <w:p w:rsidR="001711ED" w:rsidRDefault="00FF78B4">
            <w:pPr>
              <w:spacing w:beforeAutospacing="1" w:afterAutospacing="1"/>
            </w:pPr>
            <w:r>
              <w:rPr>
                <w:color w:val="000000"/>
                <w:sz w:val="22"/>
              </w:rPr>
              <w:t>400</w:t>
            </w:r>
          </w:p>
        </w:tc>
        <w:tc>
          <w:tcPr>
            <w:tcW w:w="0" w:type="auto"/>
            <w:vAlign w:val="center"/>
          </w:tcPr>
          <w:p w:rsidR="001711ED" w:rsidRDefault="00FF78B4">
            <w:pPr>
              <w:spacing w:beforeAutospacing="1" w:afterAutospacing="1"/>
            </w:pPr>
            <w:r>
              <w:rPr>
                <w:color w:val="000000"/>
                <w:sz w:val="22"/>
              </w:rPr>
              <w:t xml:space="preserve">        22.86%</w:t>
            </w:r>
          </w:p>
        </w:tc>
        <w:tc>
          <w:tcPr>
            <w:tcW w:w="0" w:type="auto"/>
            <w:vAlign w:val="center"/>
          </w:tcPr>
          <w:p w:rsidR="001711ED" w:rsidRDefault="00FF78B4">
            <w:pPr>
              <w:spacing w:beforeAutospacing="1" w:afterAutospacing="1"/>
            </w:pPr>
            <w:r>
              <w:rPr>
                <w:color w:val="000000"/>
                <w:sz w:val="22"/>
              </w:rPr>
              <w:t>400</w:t>
            </w:r>
          </w:p>
        </w:tc>
        <w:tc>
          <w:tcPr>
            <w:tcW w:w="0" w:type="auto"/>
            <w:vAlign w:val="center"/>
          </w:tcPr>
          <w:p w:rsidR="001711ED" w:rsidRDefault="00FF78B4">
            <w:pPr>
              <w:spacing w:beforeAutospacing="1" w:afterAutospacing="1"/>
            </w:pPr>
            <w:r>
              <w:rPr>
                <w:color w:val="000000"/>
                <w:sz w:val="22"/>
              </w:rPr>
              <w:t>400</w:t>
            </w:r>
          </w:p>
        </w:tc>
        <w:tc>
          <w:tcPr>
            <w:tcW w:w="0" w:type="auto"/>
            <w:vAlign w:val="center"/>
          </w:tcPr>
          <w:p w:rsidR="001711ED" w:rsidRDefault="00FF78B4">
            <w:pPr>
              <w:spacing w:beforeAutospacing="1" w:afterAutospacing="1"/>
            </w:pPr>
            <w:r>
              <w:rPr>
                <w:color w:val="000000"/>
                <w:sz w:val="22"/>
              </w:rPr>
              <w:t xml:space="preserve">       100.00%</w:t>
            </w:r>
          </w:p>
        </w:tc>
      </w:tr>
      <w:tr w:rsidR="001711ED" w:rsidTr="00351C28">
        <w:trPr>
          <w:cantSplit/>
        </w:trPr>
        <w:tc>
          <w:tcPr>
            <w:tcW w:w="0" w:type="auto"/>
            <w:vAlign w:val="center"/>
          </w:tcPr>
          <w:p w:rsidR="001711ED" w:rsidRDefault="00FF78B4">
            <w:pPr>
              <w:spacing w:beforeAutospacing="1" w:afterAutospacing="1"/>
            </w:pPr>
            <w:r>
              <w:rPr>
                <w:color w:val="000000"/>
                <w:sz w:val="22"/>
              </w:rPr>
              <w:t>Homeless Assistance and Services</w:t>
            </w:r>
          </w:p>
        </w:tc>
        <w:tc>
          <w:tcPr>
            <w:tcW w:w="0" w:type="auto"/>
            <w:vAlign w:val="center"/>
          </w:tcPr>
          <w:p w:rsidR="001711ED" w:rsidRDefault="00FF78B4">
            <w:pPr>
              <w:spacing w:beforeAutospacing="1" w:afterAutospacing="1"/>
            </w:pPr>
            <w:r>
              <w:rPr>
                <w:color w:val="000000"/>
                <w:sz w:val="22"/>
              </w:rPr>
              <w:t>Homeless</w:t>
            </w:r>
          </w:p>
        </w:tc>
        <w:tc>
          <w:tcPr>
            <w:tcW w:w="0" w:type="auto"/>
            <w:vAlign w:val="center"/>
          </w:tcPr>
          <w:p w:rsidR="001711ED" w:rsidRDefault="00FF78B4">
            <w:pPr>
              <w:spacing w:beforeAutospacing="1" w:afterAutospacing="1"/>
            </w:pPr>
            <w:r>
              <w:rPr>
                <w:color w:val="000000"/>
                <w:sz w:val="22"/>
              </w:rPr>
              <w:t>CDBG: $</w:t>
            </w:r>
          </w:p>
        </w:tc>
        <w:tc>
          <w:tcPr>
            <w:tcW w:w="0" w:type="auto"/>
            <w:vAlign w:val="center"/>
          </w:tcPr>
          <w:p w:rsidR="001711ED" w:rsidRDefault="00FF78B4">
            <w:pPr>
              <w:spacing w:beforeAutospacing="1" w:afterAutospacing="1"/>
            </w:pPr>
            <w:r>
              <w:rPr>
                <w:color w:val="000000"/>
                <w:sz w:val="22"/>
              </w:rPr>
              <w:t>Public service activities other than Low/Moderate Income Housing Benefit</w:t>
            </w:r>
          </w:p>
        </w:tc>
        <w:tc>
          <w:tcPr>
            <w:tcW w:w="0" w:type="auto"/>
            <w:vAlign w:val="center"/>
          </w:tcPr>
          <w:p w:rsidR="001711ED" w:rsidRDefault="00FF78B4">
            <w:pPr>
              <w:spacing w:beforeAutospacing="1" w:afterAutospacing="1"/>
            </w:pPr>
            <w:r>
              <w:rPr>
                <w:color w:val="000000"/>
                <w:sz w:val="22"/>
              </w:rPr>
              <w:t>Persons Assisted</w:t>
            </w:r>
          </w:p>
        </w:tc>
        <w:tc>
          <w:tcPr>
            <w:tcW w:w="0" w:type="auto"/>
            <w:vAlign w:val="center"/>
          </w:tcPr>
          <w:p w:rsidR="001711ED" w:rsidRDefault="00FF78B4">
            <w:pPr>
              <w:spacing w:beforeAutospacing="1" w:afterAutospacing="1"/>
            </w:pPr>
            <w:r>
              <w:rPr>
                <w:color w:val="000000"/>
                <w:sz w:val="22"/>
              </w:rPr>
              <w:t>1750</w:t>
            </w:r>
          </w:p>
        </w:tc>
        <w:tc>
          <w:tcPr>
            <w:tcW w:w="0" w:type="auto"/>
            <w:vAlign w:val="center"/>
          </w:tcPr>
          <w:p w:rsidR="001711ED" w:rsidRDefault="00FF78B4">
            <w:pPr>
              <w:spacing w:beforeAutospacing="1" w:afterAutospacing="1"/>
            </w:pPr>
            <w:r>
              <w:rPr>
                <w:color w:val="000000"/>
                <w:sz w:val="22"/>
              </w:rPr>
              <w:t>6765</w:t>
            </w:r>
          </w:p>
        </w:tc>
        <w:tc>
          <w:tcPr>
            <w:tcW w:w="0" w:type="auto"/>
            <w:vAlign w:val="center"/>
          </w:tcPr>
          <w:p w:rsidR="001711ED" w:rsidRDefault="00FF78B4">
            <w:pPr>
              <w:spacing w:beforeAutospacing="1" w:afterAutospacing="1"/>
            </w:pPr>
            <w:r>
              <w:rPr>
                <w:color w:val="000000"/>
                <w:sz w:val="22"/>
              </w:rPr>
              <w:t xml:space="preserve">       386.57%</w:t>
            </w:r>
          </w:p>
        </w:tc>
        <w:tc>
          <w:tcPr>
            <w:tcW w:w="0" w:type="auto"/>
            <w:vAlign w:val="center"/>
          </w:tcPr>
          <w:p w:rsidR="001711ED" w:rsidRDefault="00FF78B4">
            <w:pPr>
              <w:spacing w:beforeAutospacing="1" w:afterAutospacing="1"/>
            </w:pPr>
            <w:r>
              <w:rPr>
                <w:color w:val="000000"/>
                <w:sz w:val="22"/>
              </w:rPr>
              <w:t>400</w:t>
            </w:r>
          </w:p>
        </w:tc>
        <w:tc>
          <w:tcPr>
            <w:tcW w:w="0" w:type="auto"/>
            <w:vAlign w:val="center"/>
          </w:tcPr>
          <w:p w:rsidR="001711ED" w:rsidRDefault="00FF78B4">
            <w:pPr>
              <w:spacing w:beforeAutospacing="1" w:afterAutospacing="1"/>
            </w:pPr>
            <w:r>
              <w:rPr>
                <w:color w:val="000000"/>
                <w:sz w:val="22"/>
              </w:rPr>
              <w:t>6765</w:t>
            </w:r>
          </w:p>
        </w:tc>
        <w:tc>
          <w:tcPr>
            <w:tcW w:w="0" w:type="auto"/>
            <w:vAlign w:val="center"/>
          </w:tcPr>
          <w:p w:rsidR="001711ED" w:rsidRDefault="00FF78B4">
            <w:pPr>
              <w:spacing w:beforeAutospacing="1" w:afterAutospacing="1"/>
            </w:pPr>
            <w:r>
              <w:rPr>
                <w:color w:val="000000"/>
                <w:sz w:val="22"/>
              </w:rPr>
              <w:t xml:space="preserve">     1,691.25%</w:t>
            </w:r>
          </w:p>
        </w:tc>
      </w:tr>
      <w:tr w:rsidR="001711ED" w:rsidTr="00351C28">
        <w:trPr>
          <w:cantSplit/>
        </w:trPr>
        <w:tc>
          <w:tcPr>
            <w:tcW w:w="0" w:type="auto"/>
            <w:vAlign w:val="center"/>
          </w:tcPr>
          <w:p w:rsidR="001711ED" w:rsidRDefault="00FF78B4">
            <w:pPr>
              <w:spacing w:beforeAutospacing="1" w:afterAutospacing="1"/>
            </w:pPr>
            <w:r>
              <w:rPr>
                <w:color w:val="000000"/>
                <w:sz w:val="22"/>
              </w:rPr>
              <w:t>Homeless Assistance and Services</w:t>
            </w:r>
          </w:p>
        </w:tc>
        <w:tc>
          <w:tcPr>
            <w:tcW w:w="0" w:type="auto"/>
            <w:vAlign w:val="center"/>
          </w:tcPr>
          <w:p w:rsidR="001711ED" w:rsidRDefault="00FF78B4">
            <w:pPr>
              <w:spacing w:beforeAutospacing="1" w:afterAutospacing="1"/>
            </w:pPr>
            <w:r>
              <w:rPr>
                <w:color w:val="000000"/>
                <w:sz w:val="22"/>
              </w:rPr>
              <w:t>Homeless</w:t>
            </w:r>
          </w:p>
        </w:tc>
        <w:tc>
          <w:tcPr>
            <w:tcW w:w="0" w:type="auto"/>
            <w:vAlign w:val="center"/>
          </w:tcPr>
          <w:p w:rsidR="001711ED" w:rsidRDefault="00FF78B4">
            <w:pPr>
              <w:spacing w:beforeAutospacing="1" w:afterAutospacing="1"/>
            </w:pPr>
            <w:r>
              <w:rPr>
                <w:color w:val="000000"/>
                <w:sz w:val="22"/>
              </w:rPr>
              <w:t>CDBG: $</w:t>
            </w:r>
          </w:p>
        </w:tc>
        <w:tc>
          <w:tcPr>
            <w:tcW w:w="0" w:type="auto"/>
            <w:vAlign w:val="center"/>
          </w:tcPr>
          <w:p w:rsidR="001711ED" w:rsidRDefault="00FF78B4">
            <w:pPr>
              <w:spacing w:beforeAutospacing="1" w:afterAutospacing="1"/>
            </w:pPr>
            <w:r>
              <w:rPr>
                <w:color w:val="000000"/>
                <w:sz w:val="22"/>
              </w:rPr>
              <w:t>Homeless Person Overnight Shelter</w:t>
            </w:r>
          </w:p>
        </w:tc>
        <w:tc>
          <w:tcPr>
            <w:tcW w:w="0" w:type="auto"/>
            <w:vAlign w:val="center"/>
          </w:tcPr>
          <w:p w:rsidR="001711ED" w:rsidRDefault="00FF78B4">
            <w:pPr>
              <w:spacing w:beforeAutospacing="1" w:afterAutospacing="1"/>
            </w:pPr>
            <w:r>
              <w:rPr>
                <w:color w:val="000000"/>
                <w:sz w:val="22"/>
              </w:rPr>
              <w:t>Persons Assisted</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w:t>
            </w:r>
          </w:p>
        </w:tc>
      </w:tr>
      <w:tr w:rsidR="001711ED" w:rsidTr="00351C28">
        <w:trPr>
          <w:cantSplit/>
        </w:trPr>
        <w:tc>
          <w:tcPr>
            <w:tcW w:w="0" w:type="auto"/>
            <w:vAlign w:val="center"/>
          </w:tcPr>
          <w:p w:rsidR="001711ED" w:rsidRDefault="00FF78B4">
            <w:pPr>
              <w:spacing w:beforeAutospacing="1" w:afterAutospacing="1"/>
            </w:pPr>
            <w:r>
              <w:rPr>
                <w:color w:val="000000"/>
                <w:sz w:val="22"/>
              </w:rPr>
              <w:t>Homeless Assistance and Services</w:t>
            </w:r>
          </w:p>
        </w:tc>
        <w:tc>
          <w:tcPr>
            <w:tcW w:w="0" w:type="auto"/>
            <w:vAlign w:val="center"/>
          </w:tcPr>
          <w:p w:rsidR="001711ED" w:rsidRDefault="00FF78B4">
            <w:pPr>
              <w:spacing w:beforeAutospacing="1" w:afterAutospacing="1"/>
            </w:pPr>
            <w:r>
              <w:rPr>
                <w:color w:val="000000"/>
                <w:sz w:val="22"/>
              </w:rPr>
              <w:t>Homeless</w:t>
            </w:r>
          </w:p>
        </w:tc>
        <w:tc>
          <w:tcPr>
            <w:tcW w:w="0" w:type="auto"/>
            <w:vAlign w:val="center"/>
          </w:tcPr>
          <w:p w:rsidR="001711ED" w:rsidRDefault="00FF78B4">
            <w:pPr>
              <w:spacing w:beforeAutospacing="1" w:afterAutospacing="1"/>
            </w:pPr>
            <w:r>
              <w:rPr>
                <w:color w:val="000000"/>
                <w:sz w:val="22"/>
              </w:rPr>
              <w:t>CDBG: $</w:t>
            </w:r>
          </w:p>
        </w:tc>
        <w:tc>
          <w:tcPr>
            <w:tcW w:w="0" w:type="auto"/>
            <w:vAlign w:val="center"/>
          </w:tcPr>
          <w:p w:rsidR="001711ED" w:rsidRDefault="00FF78B4">
            <w:pPr>
              <w:spacing w:beforeAutospacing="1" w:afterAutospacing="1"/>
            </w:pPr>
            <w:r>
              <w:rPr>
                <w:color w:val="000000"/>
                <w:sz w:val="22"/>
              </w:rPr>
              <w:t>Overnight/Emergency Shelter/Transitional Housing Beds added</w:t>
            </w:r>
          </w:p>
        </w:tc>
        <w:tc>
          <w:tcPr>
            <w:tcW w:w="0" w:type="auto"/>
            <w:vAlign w:val="center"/>
          </w:tcPr>
          <w:p w:rsidR="001711ED" w:rsidRDefault="00FF78B4">
            <w:pPr>
              <w:spacing w:beforeAutospacing="1" w:afterAutospacing="1"/>
            </w:pPr>
            <w:r>
              <w:rPr>
                <w:color w:val="000000"/>
                <w:sz w:val="22"/>
              </w:rPr>
              <w:t>Beds</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w:t>
            </w:r>
          </w:p>
        </w:tc>
      </w:tr>
      <w:tr w:rsidR="001711ED" w:rsidTr="00351C28">
        <w:trPr>
          <w:cantSplit/>
        </w:trPr>
        <w:tc>
          <w:tcPr>
            <w:tcW w:w="0" w:type="auto"/>
            <w:vAlign w:val="center"/>
          </w:tcPr>
          <w:p w:rsidR="001711ED" w:rsidRDefault="00FF78B4">
            <w:pPr>
              <w:spacing w:beforeAutospacing="1" w:afterAutospacing="1"/>
            </w:pPr>
            <w:r>
              <w:rPr>
                <w:color w:val="000000"/>
                <w:sz w:val="22"/>
              </w:rPr>
              <w:lastRenderedPageBreak/>
              <w:t>Homeless Assistance and Services</w:t>
            </w:r>
          </w:p>
        </w:tc>
        <w:tc>
          <w:tcPr>
            <w:tcW w:w="0" w:type="auto"/>
            <w:vAlign w:val="center"/>
          </w:tcPr>
          <w:p w:rsidR="001711ED" w:rsidRDefault="00FF78B4">
            <w:pPr>
              <w:spacing w:beforeAutospacing="1" w:afterAutospacing="1"/>
            </w:pPr>
            <w:r>
              <w:rPr>
                <w:color w:val="000000"/>
                <w:sz w:val="22"/>
              </w:rPr>
              <w:t>Homeless</w:t>
            </w:r>
          </w:p>
        </w:tc>
        <w:tc>
          <w:tcPr>
            <w:tcW w:w="0" w:type="auto"/>
            <w:vAlign w:val="center"/>
          </w:tcPr>
          <w:p w:rsidR="001711ED" w:rsidRDefault="00FF78B4">
            <w:pPr>
              <w:spacing w:beforeAutospacing="1" w:afterAutospacing="1"/>
            </w:pPr>
            <w:r>
              <w:rPr>
                <w:color w:val="000000"/>
                <w:sz w:val="22"/>
              </w:rPr>
              <w:t>CDBG: $</w:t>
            </w:r>
          </w:p>
        </w:tc>
        <w:tc>
          <w:tcPr>
            <w:tcW w:w="0" w:type="auto"/>
            <w:vAlign w:val="center"/>
          </w:tcPr>
          <w:p w:rsidR="001711ED" w:rsidRDefault="00FF78B4">
            <w:pPr>
              <w:spacing w:beforeAutospacing="1" w:afterAutospacing="1"/>
            </w:pPr>
            <w:r>
              <w:rPr>
                <w:color w:val="000000"/>
                <w:sz w:val="22"/>
              </w:rPr>
              <w:t>Homelessness Prevention</w:t>
            </w:r>
          </w:p>
        </w:tc>
        <w:tc>
          <w:tcPr>
            <w:tcW w:w="0" w:type="auto"/>
            <w:vAlign w:val="center"/>
          </w:tcPr>
          <w:p w:rsidR="001711ED" w:rsidRDefault="00FF78B4">
            <w:pPr>
              <w:spacing w:beforeAutospacing="1" w:afterAutospacing="1"/>
            </w:pPr>
            <w:r>
              <w:rPr>
                <w:color w:val="000000"/>
                <w:sz w:val="22"/>
              </w:rPr>
              <w:t>Persons Assisted</w:t>
            </w:r>
          </w:p>
        </w:tc>
        <w:tc>
          <w:tcPr>
            <w:tcW w:w="0" w:type="auto"/>
            <w:vAlign w:val="center"/>
          </w:tcPr>
          <w:p w:rsidR="001711ED" w:rsidRDefault="00FF78B4">
            <w:pPr>
              <w:spacing w:beforeAutospacing="1" w:afterAutospacing="1"/>
            </w:pPr>
            <w:r>
              <w:rPr>
                <w:color w:val="000000"/>
                <w:sz w:val="22"/>
              </w:rPr>
              <w:t>1000</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0.00%</w:t>
            </w:r>
          </w:p>
        </w:tc>
        <w:tc>
          <w:tcPr>
            <w:tcW w:w="0" w:type="auto"/>
            <w:vAlign w:val="center"/>
          </w:tcPr>
          <w:p w:rsidR="001711ED" w:rsidRDefault="00FF78B4">
            <w:pPr>
              <w:spacing w:beforeAutospacing="1" w:afterAutospacing="1"/>
            </w:pPr>
            <w:r>
              <w:rPr>
                <w:color w:val="000000"/>
                <w:sz w:val="22"/>
              </w:rPr>
              <w:t>242</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0.00%</w:t>
            </w:r>
          </w:p>
        </w:tc>
      </w:tr>
      <w:tr w:rsidR="001711ED" w:rsidTr="00351C28">
        <w:trPr>
          <w:cantSplit/>
        </w:trPr>
        <w:tc>
          <w:tcPr>
            <w:tcW w:w="0" w:type="auto"/>
            <w:vAlign w:val="center"/>
          </w:tcPr>
          <w:p w:rsidR="001711ED" w:rsidRDefault="00FF78B4">
            <w:pPr>
              <w:spacing w:beforeAutospacing="1" w:afterAutospacing="1"/>
            </w:pPr>
            <w:r>
              <w:rPr>
                <w:color w:val="000000"/>
                <w:sz w:val="22"/>
              </w:rPr>
              <w:t>Program Administration</w:t>
            </w:r>
          </w:p>
        </w:tc>
        <w:tc>
          <w:tcPr>
            <w:tcW w:w="0" w:type="auto"/>
            <w:vAlign w:val="center"/>
          </w:tcPr>
          <w:p w:rsidR="001711ED" w:rsidRDefault="00FF78B4">
            <w:pPr>
              <w:spacing w:beforeAutospacing="1" w:afterAutospacing="1"/>
            </w:pPr>
            <w:r>
              <w:rPr>
                <w:color w:val="000000"/>
                <w:sz w:val="22"/>
              </w:rPr>
              <w:t>Administration</w:t>
            </w:r>
          </w:p>
        </w:tc>
        <w:tc>
          <w:tcPr>
            <w:tcW w:w="0" w:type="auto"/>
            <w:vAlign w:val="center"/>
          </w:tcPr>
          <w:p w:rsidR="001711ED" w:rsidRDefault="00FF78B4">
            <w:pPr>
              <w:spacing w:beforeAutospacing="1" w:afterAutospacing="1"/>
            </w:pPr>
            <w:r>
              <w:rPr>
                <w:color w:val="000000"/>
                <w:sz w:val="22"/>
              </w:rPr>
              <w:t>CDBG: $ / HOME: $</w:t>
            </w:r>
          </w:p>
        </w:tc>
        <w:tc>
          <w:tcPr>
            <w:tcW w:w="0" w:type="auto"/>
            <w:vAlign w:val="center"/>
          </w:tcPr>
          <w:p w:rsidR="001711ED" w:rsidRDefault="00FF78B4">
            <w:pPr>
              <w:spacing w:beforeAutospacing="1" w:afterAutospacing="1"/>
            </w:pPr>
            <w:r>
              <w:rPr>
                <w:color w:val="000000"/>
                <w:sz w:val="22"/>
              </w:rPr>
              <w:t>Other</w:t>
            </w:r>
          </w:p>
        </w:tc>
        <w:tc>
          <w:tcPr>
            <w:tcW w:w="0" w:type="auto"/>
            <w:vAlign w:val="center"/>
          </w:tcPr>
          <w:p w:rsidR="001711ED" w:rsidRDefault="00FF78B4">
            <w:pPr>
              <w:spacing w:beforeAutospacing="1" w:afterAutospacing="1"/>
            </w:pPr>
            <w:r>
              <w:rPr>
                <w:color w:val="000000"/>
                <w:sz w:val="22"/>
              </w:rPr>
              <w:t>Other</w:t>
            </w:r>
          </w:p>
        </w:tc>
        <w:tc>
          <w:tcPr>
            <w:tcW w:w="0" w:type="auto"/>
            <w:vAlign w:val="center"/>
          </w:tcPr>
          <w:p w:rsidR="001711ED" w:rsidRDefault="00FF78B4">
            <w:pPr>
              <w:spacing w:beforeAutospacing="1" w:afterAutospacing="1"/>
            </w:pPr>
            <w:r>
              <w:rPr>
                <w:color w:val="000000"/>
                <w:sz w:val="22"/>
              </w:rPr>
              <w:t>1</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0.00%</w:t>
            </w:r>
          </w:p>
        </w:tc>
        <w:tc>
          <w:tcPr>
            <w:tcW w:w="0" w:type="auto"/>
            <w:vAlign w:val="center"/>
          </w:tcPr>
          <w:p w:rsidR="001711ED" w:rsidRDefault="00FF78B4">
            <w:pPr>
              <w:spacing w:beforeAutospacing="1" w:afterAutospacing="1"/>
            </w:pPr>
            <w:r>
              <w:rPr>
                <w:color w:val="000000"/>
                <w:sz w:val="22"/>
              </w:rPr>
              <w:t>1</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0.00%</w:t>
            </w:r>
          </w:p>
        </w:tc>
      </w:tr>
      <w:tr w:rsidR="001711ED" w:rsidTr="00351C28">
        <w:trPr>
          <w:cantSplit/>
        </w:trPr>
        <w:tc>
          <w:tcPr>
            <w:tcW w:w="0" w:type="auto"/>
            <w:vAlign w:val="center"/>
          </w:tcPr>
          <w:p w:rsidR="001711ED" w:rsidRDefault="00FF78B4">
            <w:pPr>
              <w:spacing w:beforeAutospacing="1" w:afterAutospacing="1"/>
            </w:pPr>
            <w:r>
              <w:rPr>
                <w:color w:val="000000"/>
                <w:sz w:val="22"/>
              </w:rPr>
              <w:t>Public Improvements</w:t>
            </w:r>
          </w:p>
        </w:tc>
        <w:tc>
          <w:tcPr>
            <w:tcW w:w="0" w:type="auto"/>
            <w:vAlign w:val="center"/>
          </w:tcPr>
          <w:p w:rsidR="001711ED" w:rsidRDefault="00FF78B4">
            <w:pPr>
              <w:spacing w:beforeAutospacing="1" w:afterAutospacing="1"/>
            </w:pPr>
            <w:r>
              <w:rPr>
                <w:color w:val="000000"/>
                <w:sz w:val="22"/>
              </w:rPr>
              <w:t>Non-Housing Community Development</w:t>
            </w:r>
          </w:p>
        </w:tc>
        <w:tc>
          <w:tcPr>
            <w:tcW w:w="0" w:type="auto"/>
            <w:vAlign w:val="center"/>
          </w:tcPr>
          <w:p w:rsidR="001711ED" w:rsidRDefault="00FF78B4">
            <w:pPr>
              <w:spacing w:beforeAutospacing="1" w:afterAutospacing="1"/>
            </w:pPr>
            <w:r>
              <w:rPr>
                <w:color w:val="000000"/>
                <w:sz w:val="22"/>
              </w:rPr>
              <w:t>CDBG: $</w:t>
            </w:r>
          </w:p>
        </w:tc>
        <w:tc>
          <w:tcPr>
            <w:tcW w:w="0" w:type="auto"/>
            <w:vAlign w:val="center"/>
          </w:tcPr>
          <w:p w:rsidR="001711ED" w:rsidRDefault="00FF78B4">
            <w:pPr>
              <w:spacing w:beforeAutospacing="1" w:afterAutospacing="1"/>
            </w:pPr>
            <w:r>
              <w:rPr>
                <w:color w:val="000000"/>
                <w:sz w:val="22"/>
              </w:rPr>
              <w:t>Public Facility or Infrastructure Activities other than Low/Moderate Income Housing Benefit</w:t>
            </w:r>
          </w:p>
        </w:tc>
        <w:tc>
          <w:tcPr>
            <w:tcW w:w="0" w:type="auto"/>
            <w:vAlign w:val="center"/>
          </w:tcPr>
          <w:p w:rsidR="001711ED" w:rsidRDefault="00FF78B4">
            <w:pPr>
              <w:spacing w:beforeAutospacing="1" w:afterAutospacing="1"/>
            </w:pPr>
            <w:r>
              <w:rPr>
                <w:color w:val="000000"/>
                <w:sz w:val="22"/>
              </w:rPr>
              <w:t>Persons Assisted</w:t>
            </w:r>
          </w:p>
        </w:tc>
        <w:tc>
          <w:tcPr>
            <w:tcW w:w="0" w:type="auto"/>
            <w:vAlign w:val="center"/>
          </w:tcPr>
          <w:p w:rsidR="001711ED" w:rsidRDefault="00FF78B4">
            <w:pPr>
              <w:spacing w:beforeAutospacing="1" w:afterAutospacing="1"/>
            </w:pPr>
            <w:r>
              <w:rPr>
                <w:color w:val="000000"/>
                <w:sz w:val="22"/>
              </w:rPr>
              <w:t>25000</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0.00%</w:t>
            </w:r>
          </w:p>
        </w:tc>
        <w:tc>
          <w:tcPr>
            <w:tcW w:w="0" w:type="auto"/>
            <w:vAlign w:val="center"/>
          </w:tcPr>
          <w:p w:rsidR="001711ED" w:rsidRDefault="00FF78B4">
            <w:pPr>
              <w:spacing w:beforeAutospacing="1" w:afterAutospacing="1"/>
            </w:pPr>
            <w:r>
              <w:rPr>
                <w:color w:val="000000"/>
                <w:sz w:val="22"/>
              </w:rPr>
              <w:t>7500</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0.00%</w:t>
            </w:r>
          </w:p>
        </w:tc>
      </w:tr>
      <w:tr w:rsidR="001711ED" w:rsidTr="00351C28">
        <w:trPr>
          <w:cantSplit/>
        </w:trPr>
        <w:tc>
          <w:tcPr>
            <w:tcW w:w="0" w:type="auto"/>
            <w:vAlign w:val="center"/>
          </w:tcPr>
          <w:p w:rsidR="001711ED" w:rsidRDefault="00FF78B4">
            <w:pPr>
              <w:spacing w:beforeAutospacing="1" w:afterAutospacing="1"/>
            </w:pPr>
            <w:r>
              <w:rPr>
                <w:color w:val="000000"/>
                <w:sz w:val="22"/>
              </w:rPr>
              <w:t>Public Services</w:t>
            </w:r>
          </w:p>
        </w:tc>
        <w:tc>
          <w:tcPr>
            <w:tcW w:w="0" w:type="auto"/>
            <w:vAlign w:val="center"/>
          </w:tcPr>
          <w:p w:rsidR="001711ED" w:rsidRDefault="00FF78B4">
            <w:pPr>
              <w:spacing w:beforeAutospacing="1" w:afterAutospacing="1"/>
            </w:pPr>
            <w:r>
              <w:rPr>
                <w:color w:val="000000"/>
                <w:sz w:val="22"/>
              </w:rPr>
              <w:t>Public Services</w:t>
            </w:r>
          </w:p>
        </w:tc>
        <w:tc>
          <w:tcPr>
            <w:tcW w:w="0" w:type="auto"/>
            <w:vAlign w:val="center"/>
          </w:tcPr>
          <w:p w:rsidR="001711ED" w:rsidRDefault="00FF78B4">
            <w:pPr>
              <w:spacing w:beforeAutospacing="1" w:afterAutospacing="1"/>
            </w:pPr>
            <w:r>
              <w:rPr>
                <w:color w:val="000000"/>
                <w:sz w:val="22"/>
              </w:rPr>
              <w:t>CDBG: $</w:t>
            </w:r>
          </w:p>
        </w:tc>
        <w:tc>
          <w:tcPr>
            <w:tcW w:w="0" w:type="auto"/>
            <w:vAlign w:val="center"/>
          </w:tcPr>
          <w:p w:rsidR="001711ED" w:rsidRDefault="00FF78B4">
            <w:pPr>
              <w:spacing w:beforeAutospacing="1" w:afterAutospacing="1"/>
            </w:pPr>
            <w:r>
              <w:rPr>
                <w:color w:val="000000"/>
                <w:sz w:val="22"/>
              </w:rPr>
              <w:t>Public service activities for Low/Moderate Income Housing Benefit</w:t>
            </w:r>
          </w:p>
        </w:tc>
        <w:tc>
          <w:tcPr>
            <w:tcW w:w="0" w:type="auto"/>
            <w:vAlign w:val="center"/>
          </w:tcPr>
          <w:p w:rsidR="001711ED" w:rsidRDefault="00FF78B4">
            <w:pPr>
              <w:spacing w:beforeAutospacing="1" w:afterAutospacing="1"/>
            </w:pPr>
            <w:r>
              <w:rPr>
                <w:color w:val="000000"/>
                <w:sz w:val="22"/>
              </w:rPr>
              <w:t>Households Assisted</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w:t>
            </w:r>
          </w:p>
        </w:tc>
        <w:tc>
          <w:tcPr>
            <w:tcW w:w="0" w:type="auto"/>
            <w:vAlign w:val="center"/>
          </w:tcPr>
          <w:p w:rsidR="001711ED" w:rsidRDefault="00FF78B4">
            <w:pPr>
              <w:spacing w:beforeAutospacing="1" w:afterAutospacing="1"/>
            </w:pPr>
            <w:r>
              <w:rPr>
                <w:color w:val="000000"/>
                <w:sz w:val="22"/>
              </w:rPr>
              <w:t xml:space="preserve"> </w:t>
            </w:r>
          </w:p>
        </w:tc>
        <w:tc>
          <w:tcPr>
            <w:tcW w:w="0" w:type="auto"/>
            <w:vAlign w:val="center"/>
          </w:tcPr>
          <w:p w:rsidR="001711ED" w:rsidRDefault="00FF78B4">
            <w:pPr>
              <w:spacing w:beforeAutospacing="1" w:afterAutospacing="1"/>
            </w:pPr>
            <w:r>
              <w:rPr>
                <w:color w:val="000000"/>
                <w:sz w:val="22"/>
              </w:rPr>
              <w:t xml:space="preserve"> </w:t>
            </w:r>
          </w:p>
        </w:tc>
        <w:tc>
          <w:tcPr>
            <w:tcW w:w="0" w:type="auto"/>
            <w:vAlign w:val="center"/>
          </w:tcPr>
          <w:p w:rsidR="001711ED" w:rsidRDefault="00FF78B4">
            <w:pPr>
              <w:spacing w:beforeAutospacing="1" w:afterAutospacing="1"/>
            </w:pPr>
            <w:r>
              <w:rPr>
                <w:color w:val="000000"/>
                <w:sz w:val="22"/>
              </w:rPr>
              <w:t xml:space="preserve"> </w:t>
            </w:r>
          </w:p>
        </w:tc>
      </w:tr>
      <w:tr w:rsidR="001711ED" w:rsidTr="00351C28">
        <w:trPr>
          <w:cantSplit/>
        </w:trPr>
        <w:tc>
          <w:tcPr>
            <w:tcW w:w="0" w:type="auto"/>
            <w:vAlign w:val="center"/>
          </w:tcPr>
          <w:p w:rsidR="001711ED" w:rsidRDefault="00FF78B4">
            <w:pPr>
              <w:spacing w:beforeAutospacing="1" w:afterAutospacing="1"/>
            </w:pPr>
            <w:r>
              <w:rPr>
                <w:color w:val="000000"/>
                <w:sz w:val="22"/>
              </w:rPr>
              <w:t>Safe and Decent Affordable Housing</w:t>
            </w:r>
          </w:p>
        </w:tc>
        <w:tc>
          <w:tcPr>
            <w:tcW w:w="0" w:type="auto"/>
            <w:vAlign w:val="center"/>
          </w:tcPr>
          <w:p w:rsidR="001711ED" w:rsidRDefault="00FF78B4">
            <w:pPr>
              <w:spacing w:beforeAutospacing="1" w:afterAutospacing="1"/>
            </w:pPr>
            <w:r>
              <w:rPr>
                <w:color w:val="000000"/>
                <w:sz w:val="22"/>
              </w:rPr>
              <w:t>Affordable Housing</w:t>
            </w:r>
          </w:p>
        </w:tc>
        <w:tc>
          <w:tcPr>
            <w:tcW w:w="0" w:type="auto"/>
            <w:vAlign w:val="center"/>
          </w:tcPr>
          <w:p w:rsidR="001711ED" w:rsidRDefault="00FF78B4">
            <w:pPr>
              <w:spacing w:beforeAutospacing="1" w:afterAutospacing="1"/>
            </w:pPr>
            <w:r>
              <w:rPr>
                <w:color w:val="000000"/>
                <w:sz w:val="22"/>
              </w:rPr>
              <w:t>CDBG: $ / HOME: $</w:t>
            </w:r>
          </w:p>
        </w:tc>
        <w:tc>
          <w:tcPr>
            <w:tcW w:w="0" w:type="auto"/>
            <w:vAlign w:val="center"/>
          </w:tcPr>
          <w:p w:rsidR="001711ED" w:rsidRDefault="00FF78B4">
            <w:pPr>
              <w:spacing w:beforeAutospacing="1" w:afterAutospacing="1"/>
            </w:pPr>
            <w:r>
              <w:rPr>
                <w:color w:val="000000"/>
                <w:sz w:val="22"/>
              </w:rPr>
              <w:t>Rental units constructed</w:t>
            </w:r>
          </w:p>
        </w:tc>
        <w:tc>
          <w:tcPr>
            <w:tcW w:w="0" w:type="auto"/>
            <w:vAlign w:val="center"/>
          </w:tcPr>
          <w:p w:rsidR="001711ED" w:rsidRDefault="00FF78B4">
            <w:pPr>
              <w:spacing w:beforeAutospacing="1" w:afterAutospacing="1"/>
            </w:pPr>
            <w:r>
              <w:rPr>
                <w:color w:val="000000"/>
                <w:sz w:val="22"/>
              </w:rPr>
              <w:t>Household Housing Unit</w:t>
            </w:r>
          </w:p>
        </w:tc>
        <w:tc>
          <w:tcPr>
            <w:tcW w:w="0" w:type="auto"/>
            <w:vAlign w:val="center"/>
          </w:tcPr>
          <w:p w:rsidR="001711ED" w:rsidRDefault="00FF78B4">
            <w:pPr>
              <w:spacing w:beforeAutospacing="1" w:afterAutospacing="1"/>
            </w:pPr>
            <w:r>
              <w:rPr>
                <w:color w:val="000000"/>
                <w:sz w:val="22"/>
              </w:rPr>
              <w:t>30</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0.00%</w:t>
            </w:r>
          </w:p>
        </w:tc>
        <w:tc>
          <w:tcPr>
            <w:tcW w:w="0" w:type="auto"/>
            <w:vAlign w:val="center"/>
          </w:tcPr>
          <w:p w:rsidR="001711ED" w:rsidRDefault="00FF78B4">
            <w:pPr>
              <w:spacing w:beforeAutospacing="1" w:afterAutospacing="1"/>
            </w:pPr>
            <w:r>
              <w:rPr>
                <w:color w:val="000000"/>
                <w:sz w:val="22"/>
              </w:rPr>
              <w:t>7</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0.00%</w:t>
            </w:r>
          </w:p>
        </w:tc>
      </w:tr>
      <w:tr w:rsidR="001711ED" w:rsidTr="00351C28">
        <w:trPr>
          <w:cantSplit/>
        </w:trPr>
        <w:tc>
          <w:tcPr>
            <w:tcW w:w="0" w:type="auto"/>
            <w:vAlign w:val="center"/>
          </w:tcPr>
          <w:p w:rsidR="001711ED" w:rsidRDefault="00FF78B4">
            <w:pPr>
              <w:spacing w:beforeAutospacing="1" w:afterAutospacing="1"/>
            </w:pPr>
            <w:r>
              <w:rPr>
                <w:color w:val="000000"/>
                <w:sz w:val="22"/>
              </w:rPr>
              <w:t>Safe and Decent Affordable Housing</w:t>
            </w:r>
          </w:p>
        </w:tc>
        <w:tc>
          <w:tcPr>
            <w:tcW w:w="0" w:type="auto"/>
            <w:vAlign w:val="center"/>
          </w:tcPr>
          <w:p w:rsidR="001711ED" w:rsidRDefault="00FF78B4">
            <w:pPr>
              <w:spacing w:beforeAutospacing="1" w:afterAutospacing="1"/>
            </w:pPr>
            <w:r>
              <w:rPr>
                <w:color w:val="000000"/>
                <w:sz w:val="22"/>
              </w:rPr>
              <w:t>Affordable Housing</w:t>
            </w:r>
          </w:p>
        </w:tc>
        <w:tc>
          <w:tcPr>
            <w:tcW w:w="0" w:type="auto"/>
            <w:vAlign w:val="center"/>
          </w:tcPr>
          <w:p w:rsidR="001711ED" w:rsidRDefault="00FF78B4">
            <w:pPr>
              <w:spacing w:beforeAutospacing="1" w:afterAutospacing="1"/>
            </w:pPr>
            <w:r>
              <w:rPr>
                <w:color w:val="000000"/>
                <w:sz w:val="22"/>
              </w:rPr>
              <w:t>CDBG: $ / HOME: $</w:t>
            </w:r>
          </w:p>
        </w:tc>
        <w:tc>
          <w:tcPr>
            <w:tcW w:w="0" w:type="auto"/>
            <w:vAlign w:val="center"/>
          </w:tcPr>
          <w:p w:rsidR="001711ED" w:rsidRDefault="00FF78B4">
            <w:pPr>
              <w:spacing w:beforeAutospacing="1" w:afterAutospacing="1"/>
            </w:pPr>
            <w:r>
              <w:rPr>
                <w:color w:val="000000"/>
                <w:sz w:val="22"/>
              </w:rPr>
              <w:t>Homeowner Housing Added</w:t>
            </w:r>
          </w:p>
        </w:tc>
        <w:tc>
          <w:tcPr>
            <w:tcW w:w="0" w:type="auto"/>
            <w:vAlign w:val="center"/>
          </w:tcPr>
          <w:p w:rsidR="001711ED" w:rsidRDefault="00FF78B4">
            <w:pPr>
              <w:spacing w:beforeAutospacing="1" w:afterAutospacing="1"/>
            </w:pPr>
            <w:r>
              <w:rPr>
                <w:color w:val="000000"/>
                <w:sz w:val="22"/>
              </w:rPr>
              <w:t>Household Housing Unit</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1</w:t>
            </w:r>
          </w:p>
        </w:tc>
        <w:tc>
          <w:tcPr>
            <w:tcW w:w="0" w:type="auto"/>
            <w:vAlign w:val="center"/>
          </w:tcPr>
          <w:p w:rsidR="001711ED" w:rsidRDefault="00FF78B4">
            <w:pPr>
              <w:spacing w:beforeAutospacing="1" w:afterAutospacing="1"/>
            </w:pPr>
            <w:r>
              <w:rPr>
                <w:color w:val="000000"/>
                <w:sz w:val="22"/>
              </w:rPr>
              <w:t xml:space="preserve"> </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1</w:t>
            </w:r>
          </w:p>
        </w:tc>
        <w:tc>
          <w:tcPr>
            <w:tcW w:w="0" w:type="auto"/>
            <w:vAlign w:val="center"/>
          </w:tcPr>
          <w:p w:rsidR="001711ED" w:rsidRDefault="00FF78B4">
            <w:pPr>
              <w:spacing w:beforeAutospacing="1" w:afterAutospacing="1"/>
            </w:pPr>
            <w:r>
              <w:rPr>
                <w:color w:val="000000"/>
                <w:sz w:val="22"/>
              </w:rPr>
              <w:t xml:space="preserve"> </w:t>
            </w:r>
          </w:p>
        </w:tc>
      </w:tr>
      <w:tr w:rsidR="001711ED" w:rsidTr="00351C28">
        <w:trPr>
          <w:cantSplit/>
        </w:trPr>
        <w:tc>
          <w:tcPr>
            <w:tcW w:w="0" w:type="auto"/>
            <w:vAlign w:val="center"/>
          </w:tcPr>
          <w:p w:rsidR="001711ED" w:rsidRDefault="00FF78B4">
            <w:pPr>
              <w:spacing w:beforeAutospacing="1" w:afterAutospacing="1"/>
            </w:pPr>
            <w:r>
              <w:rPr>
                <w:color w:val="000000"/>
                <w:sz w:val="22"/>
              </w:rPr>
              <w:t>Safe and Decent Affordable Housing</w:t>
            </w:r>
          </w:p>
        </w:tc>
        <w:tc>
          <w:tcPr>
            <w:tcW w:w="0" w:type="auto"/>
            <w:vAlign w:val="center"/>
          </w:tcPr>
          <w:p w:rsidR="001711ED" w:rsidRDefault="00FF78B4">
            <w:pPr>
              <w:spacing w:beforeAutospacing="1" w:afterAutospacing="1"/>
            </w:pPr>
            <w:r>
              <w:rPr>
                <w:color w:val="000000"/>
                <w:sz w:val="22"/>
              </w:rPr>
              <w:t>Affordable Housing</w:t>
            </w:r>
          </w:p>
        </w:tc>
        <w:tc>
          <w:tcPr>
            <w:tcW w:w="0" w:type="auto"/>
            <w:vAlign w:val="center"/>
          </w:tcPr>
          <w:p w:rsidR="001711ED" w:rsidRDefault="00FF78B4">
            <w:pPr>
              <w:spacing w:beforeAutospacing="1" w:afterAutospacing="1"/>
            </w:pPr>
            <w:r>
              <w:rPr>
                <w:color w:val="000000"/>
                <w:sz w:val="22"/>
              </w:rPr>
              <w:t>CDBG: $ / HOME: $</w:t>
            </w:r>
          </w:p>
        </w:tc>
        <w:tc>
          <w:tcPr>
            <w:tcW w:w="0" w:type="auto"/>
            <w:vAlign w:val="center"/>
          </w:tcPr>
          <w:p w:rsidR="001711ED" w:rsidRDefault="00FF78B4">
            <w:pPr>
              <w:spacing w:beforeAutospacing="1" w:afterAutospacing="1"/>
            </w:pPr>
            <w:r>
              <w:rPr>
                <w:color w:val="000000"/>
                <w:sz w:val="22"/>
              </w:rPr>
              <w:t>Homeowner Housing Rehabilitated</w:t>
            </w:r>
          </w:p>
        </w:tc>
        <w:tc>
          <w:tcPr>
            <w:tcW w:w="0" w:type="auto"/>
            <w:vAlign w:val="center"/>
          </w:tcPr>
          <w:p w:rsidR="001711ED" w:rsidRDefault="00FF78B4">
            <w:pPr>
              <w:spacing w:beforeAutospacing="1" w:afterAutospacing="1"/>
            </w:pPr>
            <w:r>
              <w:rPr>
                <w:color w:val="000000"/>
                <w:sz w:val="22"/>
              </w:rPr>
              <w:t>Household Housing Unit</w:t>
            </w:r>
          </w:p>
        </w:tc>
        <w:tc>
          <w:tcPr>
            <w:tcW w:w="0" w:type="auto"/>
            <w:vAlign w:val="center"/>
          </w:tcPr>
          <w:p w:rsidR="001711ED" w:rsidRDefault="00FF78B4">
            <w:pPr>
              <w:spacing w:beforeAutospacing="1" w:afterAutospacing="1"/>
            </w:pPr>
            <w:r>
              <w:rPr>
                <w:color w:val="000000"/>
                <w:sz w:val="22"/>
              </w:rPr>
              <w:t>50</w:t>
            </w:r>
          </w:p>
        </w:tc>
        <w:tc>
          <w:tcPr>
            <w:tcW w:w="0" w:type="auto"/>
            <w:vAlign w:val="center"/>
          </w:tcPr>
          <w:p w:rsidR="001711ED" w:rsidRDefault="00FF78B4">
            <w:pPr>
              <w:spacing w:beforeAutospacing="1" w:afterAutospacing="1"/>
            </w:pPr>
            <w:r>
              <w:rPr>
                <w:color w:val="000000"/>
                <w:sz w:val="22"/>
              </w:rPr>
              <w:t>17</w:t>
            </w:r>
          </w:p>
        </w:tc>
        <w:tc>
          <w:tcPr>
            <w:tcW w:w="0" w:type="auto"/>
            <w:vAlign w:val="center"/>
          </w:tcPr>
          <w:p w:rsidR="001711ED" w:rsidRDefault="00FF78B4">
            <w:pPr>
              <w:spacing w:beforeAutospacing="1" w:afterAutospacing="1"/>
            </w:pPr>
            <w:r>
              <w:rPr>
                <w:color w:val="000000"/>
                <w:sz w:val="22"/>
              </w:rPr>
              <w:t xml:space="preserve">        34.00%</w:t>
            </w:r>
          </w:p>
        </w:tc>
        <w:tc>
          <w:tcPr>
            <w:tcW w:w="0" w:type="auto"/>
            <w:vAlign w:val="center"/>
          </w:tcPr>
          <w:p w:rsidR="001711ED" w:rsidRDefault="00FF78B4">
            <w:pPr>
              <w:spacing w:beforeAutospacing="1" w:afterAutospacing="1"/>
            </w:pPr>
            <w:r>
              <w:rPr>
                <w:color w:val="000000"/>
                <w:sz w:val="22"/>
              </w:rPr>
              <w:t>10</w:t>
            </w:r>
          </w:p>
        </w:tc>
        <w:tc>
          <w:tcPr>
            <w:tcW w:w="0" w:type="auto"/>
            <w:vAlign w:val="center"/>
          </w:tcPr>
          <w:p w:rsidR="001711ED" w:rsidRDefault="00FF78B4">
            <w:pPr>
              <w:spacing w:beforeAutospacing="1" w:afterAutospacing="1"/>
            </w:pPr>
            <w:r>
              <w:rPr>
                <w:color w:val="000000"/>
                <w:sz w:val="22"/>
              </w:rPr>
              <w:t>17</w:t>
            </w:r>
          </w:p>
        </w:tc>
        <w:tc>
          <w:tcPr>
            <w:tcW w:w="0" w:type="auto"/>
            <w:vAlign w:val="center"/>
          </w:tcPr>
          <w:p w:rsidR="001711ED" w:rsidRDefault="00FF78B4">
            <w:pPr>
              <w:spacing w:beforeAutospacing="1" w:afterAutospacing="1"/>
            </w:pPr>
            <w:r>
              <w:rPr>
                <w:color w:val="000000"/>
                <w:sz w:val="22"/>
              </w:rPr>
              <w:t xml:space="preserve">       170.00%</w:t>
            </w:r>
          </w:p>
        </w:tc>
      </w:tr>
      <w:tr w:rsidR="001711ED" w:rsidTr="00351C28">
        <w:trPr>
          <w:cantSplit/>
        </w:trPr>
        <w:tc>
          <w:tcPr>
            <w:tcW w:w="0" w:type="auto"/>
            <w:vAlign w:val="center"/>
          </w:tcPr>
          <w:p w:rsidR="001711ED" w:rsidRDefault="00FF78B4">
            <w:pPr>
              <w:spacing w:beforeAutospacing="1" w:afterAutospacing="1"/>
            </w:pPr>
            <w:r>
              <w:rPr>
                <w:color w:val="000000"/>
                <w:sz w:val="22"/>
              </w:rPr>
              <w:t>Safe and Decent Affordable Housing</w:t>
            </w:r>
          </w:p>
        </w:tc>
        <w:tc>
          <w:tcPr>
            <w:tcW w:w="0" w:type="auto"/>
            <w:vAlign w:val="center"/>
          </w:tcPr>
          <w:p w:rsidR="001711ED" w:rsidRDefault="00FF78B4">
            <w:pPr>
              <w:spacing w:beforeAutospacing="1" w:afterAutospacing="1"/>
            </w:pPr>
            <w:r>
              <w:rPr>
                <w:color w:val="000000"/>
                <w:sz w:val="22"/>
              </w:rPr>
              <w:t>Affordable Housing</w:t>
            </w:r>
          </w:p>
        </w:tc>
        <w:tc>
          <w:tcPr>
            <w:tcW w:w="0" w:type="auto"/>
            <w:vAlign w:val="center"/>
          </w:tcPr>
          <w:p w:rsidR="001711ED" w:rsidRDefault="00FF78B4">
            <w:pPr>
              <w:spacing w:beforeAutospacing="1" w:afterAutospacing="1"/>
            </w:pPr>
            <w:r>
              <w:rPr>
                <w:color w:val="000000"/>
                <w:sz w:val="22"/>
              </w:rPr>
              <w:t>CDBG: $ / HOME: $</w:t>
            </w:r>
          </w:p>
        </w:tc>
        <w:tc>
          <w:tcPr>
            <w:tcW w:w="0" w:type="auto"/>
            <w:vAlign w:val="center"/>
          </w:tcPr>
          <w:p w:rsidR="001711ED" w:rsidRDefault="00FF78B4">
            <w:pPr>
              <w:spacing w:beforeAutospacing="1" w:afterAutospacing="1"/>
            </w:pPr>
            <w:r>
              <w:rPr>
                <w:color w:val="000000"/>
                <w:sz w:val="22"/>
              </w:rPr>
              <w:t>Direct Financial Assistance to Homebuyers</w:t>
            </w:r>
          </w:p>
        </w:tc>
        <w:tc>
          <w:tcPr>
            <w:tcW w:w="0" w:type="auto"/>
            <w:vAlign w:val="center"/>
          </w:tcPr>
          <w:p w:rsidR="001711ED" w:rsidRDefault="00FF78B4">
            <w:pPr>
              <w:spacing w:beforeAutospacing="1" w:afterAutospacing="1"/>
            </w:pPr>
            <w:r>
              <w:rPr>
                <w:color w:val="000000"/>
                <w:sz w:val="22"/>
              </w:rPr>
              <w:t>Households Assisted</w:t>
            </w:r>
          </w:p>
        </w:tc>
        <w:tc>
          <w:tcPr>
            <w:tcW w:w="0" w:type="auto"/>
            <w:vAlign w:val="center"/>
          </w:tcPr>
          <w:p w:rsidR="001711ED" w:rsidRDefault="00FF78B4">
            <w:pPr>
              <w:spacing w:beforeAutospacing="1" w:afterAutospacing="1"/>
            </w:pPr>
            <w:r>
              <w:rPr>
                <w:color w:val="000000"/>
                <w:sz w:val="22"/>
              </w:rPr>
              <w:t>275</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0.00%</w:t>
            </w:r>
          </w:p>
        </w:tc>
        <w:tc>
          <w:tcPr>
            <w:tcW w:w="0" w:type="auto"/>
            <w:vAlign w:val="center"/>
          </w:tcPr>
          <w:p w:rsidR="001711ED" w:rsidRDefault="00FF78B4">
            <w:pPr>
              <w:spacing w:beforeAutospacing="1" w:afterAutospacing="1"/>
            </w:pPr>
            <w:r>
              <w:rPr>
                <w:color w:val="000000"/>
                <w:sz w:val="22"/>
              </w:rPr>
              <w:t>25</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0.00%</w:t>
            </w:r>
          </w:p>
        </w:tc>
      </w:tr>
      <w:tr w:rsidR="001711ED" w:rsidTr="00351C28">
        <w:trPr>
          <w:cantSplit/>
        </w:trPr>
        <w:tc>
          <w:tcPr>
            <w:tcW w:w="0" w:type="auto"/>
            <w:vAlign w:val="center"/>
          </w:tcPr>
          <w:p w:rsidR="001711ED" w:rsidRDefault="00FF78B4">
            <w:pPr>
              <w:spacing w:beforeAutospacing="1" w:afterAutospacing="1"/>
            </w:pPr>
            <w:r>
              <w:rPr>
                <w:color w:val="000000"/>
                <w:sz w:val="22"/>
              </w:rPr>
              <w:t>Safe and Decent Affordable Housing</w:t>
            </w:r>
          </w:p>
        </w:tc>
        <w:tc>
          <w:tcPr>
            <w:tcW w:w="0" w:type="auto"/>
            <w:vAlign w:val="center"/>
          </w:tcPr>
          <w:p w:rsidR="001711ED" w:rsidRDefault="00FF78B4">
            <w:pPr>
              <w:spacing w:beforeAutospacing="1" w:afterAutospacing="1"/>
            </w:pPr>
            <w:r>
              <w:rPr>
                <w:color w:val="000000"/>
                <w:sz w:val="22"/>
              </w:rPr>
              <w:t>Affordable Housing</w:t>
            </w:r>
          </w:p>
        </w:tc>
        <w:tc>
          <w:tcPr>
            <w:tcW w:w="0" w:type="auto"/>
            <w:vAlign w:val="center"/>
          </w:tcPr>
          <w:p w:rsidR="001711ED" w:rsidRDefault="00FF78B4">
            <w:pPr>
              <w:spacing w:beforeAutospacing="1" w:afterAutospacing="1"/>
            </w:pPr>
            <w:r>
              <w:rPr>
                <w:color w:val="000000"/>
                <w:sz w:val="22"/>
              </w:rPr>
              <w:t>CDBG: $ / HOME: $</w:t>
            </w:r>
          </w:p>
        </w:tc>
        <w:tc>
          <w:tcPr>
            <w:tcW w:w="0" w:type="auto"/>
            <w:vAlign w:val="center"/>
          </w:tcPr>
          <w:p w:rsidR="001711ED" w:rsidRDefault="00FF78B4">
            <w:pPr>
              <w:spacing w:beforeAutospacing="1" w:afterAutospacing="1"/>
            </w:pPr>
            <w:r>
              <w:rPr>
                <w:color w:val="000000"/>
                <w:sz w:val="22"/>
              </w:rPr>
              <w:t>Tenant-based rental assistance / Rapid Rehousing</w:t>
            </w:r>
          </w:p>
        </w:tc>
        <w:tc>
          <w:tcPr>
            <w:tcW w:w="0" w:type="auto"/>
            <w:vAlign w:val="center"/>
          </w:tcPr>
          <w:p w:rsidR="001711ED" w:rsidRDefault="00FF78B4">
            <w:pPr>
              <w:spacing w:beforeAutospacing="1" w:afterAutospacing="1"/>
            </w:pPr>
            <w:r>
              <w:rPr>
                <w:color w:val="000000"/>
                <w:sz w:val="22"/>
              </w:rPr>
              <w:t>Households Assisted</w:t>
            </w:r>
          </w:p>
        </w:tc>
        <w:tc>
          <w:tcPr>
            <w:tcW w:w="0" w:type="auto"/>
            <w:vAlign w:val="center"/>
          </w:tcPr>
          <w:p w:rsidR="001711ED" w:rsidRDefault="00FF78B4">
            <w:pPr>
              <w:spacing w:beforeAutospacing="1" w:afterAutospacing="1"/>
            </w:pPr>
            <w:r>
              <w:rPr>
                <w:color w:val="000000"/>
                <w:sz w:val="22"/>
              </w:rPr>
              <w:t>250</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0.00%</w:t>
            </w:r>
          </w:p>
        </w:tc>
        <w:tc>
          <w:tcPr>
            <w:tcW w:w="0" w:type="auto"/>
            <w:vAlign w:val="center"/>
          </w:tcPr>
          <w:p w:rsidR="001711ED" w:rsidRDefault="00FF78B4">
            <w:pPr>
              <w:spacing w:beforeAutospacing="1" w:afterAutospacing="1"/>
            </w:pPr>
            <w:r>
              <w:rPr>
                <w:color w:val="000000"/>
                <w:sz w:val="22"/>
              </w:rPr>
              <w:t>60</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0.00%</w:t>
            </w:r>
          </w:p>
        </w:tc>
      </w:tr>
      <w:tr w:rsidR="001711ED" w:rsidTr="00351C28">
        <w:trPr>
          <w:cantSplit/>
        </w:trPr>
        <w:tc>
          <w:tcPr>
            <w:tcW w:w="0" w:type="auto"/>
            <w:vAlign w:val="center"/>
          </w:tcPr>
          <w:p w:rsidR="001711ED" w:rsidRDefault="00FF78B4">
            <w:pPr>
              <w:spacing w:beforeAutospacing="1" w:afterAutospacing="1"/>
            </w:pPr>
            <w:r>
              <w:rPr>
                <w:color w:val="000000"/>
                <w:sz w:val="22"/>
              </w:rPr>
              <w:t>Section 108 Loan Program</w:t>
            </w:r>
          </w:p>
        </w:tc>
        <w:tc>
          <w:tcPr>
            <w:tcW w:w="0" w:type="auto"/>
            <w:vAlign w:val="center"/>
          </w:tcPr>
          <w:p w:rsidR="001711ED" w:rsidRDefault="00FF78B4">
            <w:pPr>
              <w:spacing w:beforeAutospacing="1" w:afterAutospacing="1"/>
            </w:pPr>
            <w:r>
              <w:rPr>
                <w:color w:val="000000"/>
                <w:sz w:val="22"/>
              </w:rPr>
              <w:t>Non-Housing Community Development</w:t>
            </w:r>
          </w:p>
        </w:tc>
        <w:tc>
          <w:tcPr>
            <w:tcW w:w="0" w:type="auto"/>
            <w:vAlign w:val="center"/>
          </w:tcPr>
          <w:p w:rsidR="001711ED" w:rsidRDefault="00FF78B4">
            <w:pPr>
              <w:spacing w:beforeAutospacing="1" w:afterAutospacing="1"/>
            </w:pPr>
            <w:r>
              <w:rPr>
                <w:color w:val="000000"/>
                <w:sz w:val="22"/>
              </w:rPr>
              <w:t>CDBG: $</w:t>
            </w:r>
          </w:p>
        </w:tc>
        <w:tc>
          <w:tcPr>
            <w:tcW w:w="0" w:type="auto"/>
            <w:vAlign w:val="center"/>
          </w:tcPr>
          <w:p w:rsidR="001711ED" w:rsidRDefault="00FF78B4">
            <w:pPr>
              <w:spacing w:beforeAutospacing="1" w:afterAutospacing="1"/>
            </w:pPr>
            <w:r>
              <w:rPr>
                <w:color w:val="000000"/>
                <w:sz w:val="22"/>
              </w:rPr>
              <w:t>Other</w:t>
            </w:r>
          </w:p>
        </w:tc>
        <w:tc>
          <w:tcPr>
            <w:tcW w:w="0" w:type="auto"/>
            <w:vAlign w:val="center"/>
          </w:tcPr>
          <w:p w:rsidR="001711ED" w:rsidRDefault="00FF78B4">
            <w:pPr>
              <w:spacing w:beforeAutospacing="1" w:afterAutospacing="1"/>
            </w:pPr>
            <w:r>
              <w:rPr>
                <w:color w:val="000000"/>
                <w:sz w:val="22"/>
              </w:rPr>
              <w:t>Other</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0</w:t>
            </w:r>
          </w:p>
        </w:tc>
        <w:tc>
          <w:tcPr>
            <w:tcW w:w="0" w:type="auto"/>
            <w:vAlign w:val="center"/>
          </w:tcPr>
          <w:p w:rsidR="001711ED" w:rsidRDefault="00FF78B4">
            <w:pPr>
              <w:spacing w:beforeAutospacing="1" w:afterAutospacing="1"/>
            </w:pPr>
            <w:r>
              <w:rPr>
                <w:color w:val="000000"/>
                <w:sz w:val="22"/>
              </w:rPr>
              <w:t xml:space="preserve"> </w:t>
            </w:r>
          </w:p>
        </w:tc>
        <w:tc>
          <w:tcPr>
            <w:tcW w:w="0" w:type="auto"/>
            <w:vAlign w:val="center"/>
          </w:tcPr>
          <w:p w:rsidR="001711ED" w:rsidRDefault="00FF78B4">
            <w:pPr>
              <w:spacing w:beforeAutospacing="1" w:afterAutospacing="1"/>
            </w:pPr>
            <w:r>
              <w:rPr>
                <w:color w:val="000000"/>
                <w:sz w:val="22"/>
              </w:rPr>
              <w:t xml:space="preserve"> </w:t>
            </w:r>
          </w:p>
        </w:tc>
        <w:tc>
          <w:tcPr>
            <w:tcW w:w="0" w:type="auto"/>
            <w:vAlign w:val="center"/>
          </w:tcPr>
          <w:p w:rsidR="001711ED" w:rsidRDefault="00FF78B4">
            <w:pPr>
              <w:spacing w:beforeAutospacing="1" w:afterAutospacing="1"/>
            </w:pPr>
            <w:r>
              <w:rPr>
                <w:color w:val="000000"/>
                <w:sz w:val="22"/>
              </w:rPr>
              <w:t xml:space="preserve"> </w:t>
            </w:r>
          </w:p>
        </w:tc>
        <w:tc>
          <w:tcPr>
            <w:tcW w:w="0" w:type="auto"/>
            <w:vAlign w:val="center"/>
          </w:tcPr>
          <w:p w:rsidR="001711ED" w:rsidRDefault="00FF78B4">
            <w:pPr>
              <w:spacing w:beforeAutospacing="1" w:afterAutospacing="1"/>
            </w:pPr>
            <w:r>
              <w:rPr>
                <w:color w:val="000000"/>
                <w:sz w:val="22"/>
              </w:rPr>
              <w:t xml:space="preserve"> </w:t>
            </w:r>
          </w:p>
        </w:tc>
      </w:tr>
    </w:tbl>
    <w:bookmarkEnd w:id="0"/>
    <w:p w:rsidR="001711ED" w:rsidRDefault="00FF78B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51C28">
        <w:rPr>
          <w:rFonts w:asciiTheme="minorHAnsi" w:hAnsiTheme="minorHAnsi"/>
          <w:noProof/>
        </w:rPr>
        <w:t>1</w:t>
      </w:r>
      <w:r>
        <w:rPr>
          <w:rFonts w:asciiTheme="minorHAnsi" w:hAnsiTheme="minorHAnsi"/>
        </w:rPr>
        <w:fldChar w:fldCharType="end"/>
      </w:r>
      <w:r>
        <w:rPr>
          <w:rFonts w:asciiTheme="minorHAnsi" w:hAnsiTheme="minorHAnsi"/>
        </w:rPr>
        <w:t xml:space="preserve"> - Accomplishments – Program Year &amp; Strategic Plan to Date</w:t>
      </w:r>
    </w:p>
    <w:p w:rsidR="001711ED" w:rsidRDefault="001711ED"/>
    <w:p w:rsidR="001711ED" w:rsidRDefault="001711ED">
      <w:pPr>
        <w:spacing w:after="0" w:line="240" w:lineRule="auto"/>
      </w:pPr>
    </w:p>
    <w:p w:rsidR="001711ED" w:rsidRDefault="00FF78B4">
      <w:pPr>
        <w:keepNext/>
        <w:widowControl w:val="0"/>
        <w:rPr>
          <w:b/>
          <w:sz w:val="24"/>
          <w:szCs w:val="24"/>
        </w:rPr>
      </w:pPr>
      <w:r>
        <w:rPr>
          <w:b/>
          <w:sz w:val="24"/>
          <w:szCs w:val="24"/>
        </w:rPr>
        <w:t xml:space="preserve">Assess how the jurisdiction’s use of funds, particularly CDBG, addresses the priorities and specific objectives </w:t>
      </w:r>
      <w:r>
        <w:rPr>
          <w:b/>
          <w:sz w:val="24"/>
          <w:szCs w:val="24"/>
        </w:rPr>
        <w:lastRenderedPageBreak/>
        <w:t>identified in the plan, giving special attention to the highest priority activities identified.</w:t>
      </w:r>
    </w:p>
    <w:p w:rsidR="001711ED" w:rsidRDefault="001711ED">
      <w:pPr>
        <w:keepNext/>
        <w:widowControl w:val="0"/>
      </w:pPr>
    </w:p>
    <w:p w:rsidR="001711ED" w:rsidRDefault="001711ED">
      <w:pPr>
        <w:keepNext/>
        <w:widowControl w:val="0"/>
        <w:spacing w:line="204" w:lineRule="auto"/>
        <w:rPr>
          <w:b/>
          <w:sz w:val="24"/>
          <w:szCs w:val="24"/>
        </w:rPr>
      </w:pPr>
    </w:p>
    <w:p w:rsidR="001711ED" w:rsidRDefault="001711ED">
      <w:pPr>
        <w:rPr>
          <w:b/>
          <w:i/>
          <w:sz w:val="26"/>
          <w:szCs w:val="26"/>
        </w:rPr>
        <w:sectPr w:rsidR="001711ED" w:rsidSect="00351C28">
          <w:footerReference w:type="default" r:id="rId8"/>
          <w:pgSz w:w="12240" w:h="15840"/>
          <w:pgMar w:top="720" w:right="720" w:bottom="720" w:left="720" w:header="720" w:footer="720" w:gutter="0"/>
          <w:cols w:space="720"/>
          <w:docGrid w:linePitch="360"/>
        </w:sectPr>
      </w:pPr>
    </w:p>
    <w:p w:rsidR="001711ED" w:rsidRDefault="00FF78B4">
      <w:pPr>
        <w:pStyle w:val="Heading2"/>
        <w:rPr>
          <w:rFonts w:asciiTheme="minorHAnsi" w:hAnsiTheme="minorHAnsi"/>
          <w:i w:val="0"/>
        </w:rPr>
      </w:pPr>
      <w:bookmarkStart w:id="1" w:name="_Toc309810474"/>
      <w:r>
        <w:rPr>
          <w:rFonts w:asciiTheme="minorHAnsi" w:hAnsiTheme="minorHAnsi"/>
          <w:i w:val="0"/>
        </w:rPr>
        <w:lastRenderedPageBreak/>
        <w:t>CR-10 - Racial and Ethnic composition of families assisted</w:t>
      </w:r>
    </w:p>
    <w:p w:rsidR="001711ED" w:rsidRDefault="00FF78B4">
      <w:pPr>
        <w:keepNext/>
        <w:widowControl w:val="0"/>
        <w:rPr>
          <w:b/>
          <w:sz w:val="24"/>
          <w:szCs w:val="24"/>
        </w:rPr>
      </w:pPr>
      <w:r>
        <w:rPr>
          <w:b/>
          <w:sz w:val="24"/>
          <w:szCs w:val="24"/>
        </w:rPr>
        <w:t xml:space="preserve">Describe the families assisted (including the racial and ethnic status of families assisted). 91.520(a) </w:t>
      </w:r>
    </w:p>
    <w:p w:rsidR="001711ED" w:rsidRDefault="001711ED">
      <w:pPr>
        <w:widowControl w:val="0"/>
        <w:spacing w:after="0" w:line="240" w:lineRule="auto"/>
        <w:rPr>
          <w:b/>
          <w:vanish/>
          <w:sz w:val="24"/>
          <w:szCs w:val="24"/>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tbl>
      <w:tblPr>
        <w:tblW w:w="41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7"/>
        <w:gridCol w:w="1551"/>
        <w:gridCol w:w="1551"/>
      </w:tblGrid>
      <w:tr w:rsidR="001711ED">
        <w:trPr>
          <w:cantSplit/>
        </w:trPr>
        <w:tc>
          <w:tcPr>
            <w:tcW w:w="3009" w:type="pct"/>
          </w:tcPr>
          <w:p w:rsidR="001711ED" w:rsidRDefault="001711ED">
            <w:pPr>
              <w:spacing w:after="0"/>
              <w:rPr>
                <w:b/>
              </w:rPr>
            </w:pPr>
          </w:p>
        </w:tc>
        <w:tc>
          <w:tcPr>
            <w:tcW w:w="992" w:type="pct"/>
          </w:tcPr>
          <w:p w:rsidR="001711ED" w:rsidRDefault="00FF78B4">
            <w:pPr>
              <w:spacing w:after="0"/>
              <w:jc w:val="center"/>
              <w:rPr>
                <w:b/>
              </w:rPr>
            </w:pPr>
            <w:r>
              <w:rPr>
                <w:b/>
              </w:rPr>
              <w:t>CDBG</w:t>
            </w:r>
          </w:p>
        </w:tc>
        <w:tc>
          <w:tcPr>
            <w:tcW w:w="992" w:type="pct"/>
          </w:tcPr>
          <w:p w:rsidR="001711ED" w:rsidRDefault="00FF78B4">
            <w:pPr>
              <w:spacing w:after="0"/>
              <w:jc w:val="center"/>
              <w:rPr>
                <w:b/>
              </w:rPr>
            </w:pPr>
            <w:r>
              <w:rPr>
                <w:b/>
              </w:rPr>
              <w:t>HOME</w:t>
            </w:r>
          </w:p>
        </w:tc>
      </w:tr>
      <w:tr w:rsidR="001711ED">
        <w:trPr>
          <w:cantSplit/>
        </w:trPr>
        <w:tc>
          <w:tcPr>
            <w:tcW w:w="4821" w:type="dxa"/>
            <w:vAlign w:val="bottom"/>
          </w:tcPr>
          <w:p w:rsidR="001711ED" w:rsidRDefault="00FF78B4">
            <w:pPr>
              <w:spacing w:beforeAutospacing="1" w:afterAutospacing="1"/>
            </w:pPr>
            <w:r>
              <w:rPr>
                <w:color w:val="000000"/>
              </w:rPr>
              <w:t>White</w:t>
            </w:r>
          </w:p>
        </w:tc>
        <w:tc>
          <w:tcPr>
            <w:tcW w:w="1589" w:type="dxa"/>
            <w:vAlign w:val="bottom"/>
          </w:tcPr>
          <w:p w:rsidR="001711ED" w:rsidRDefault="00FF78B4">
            <w:pPr>
              <w:spacing w:beforeAutospacing="1" w:afterAutospacing="1"/>
              <w:jc w:val="right"/>
            </w:pPr>
            <w:r>
              <w:rPr>
                <w:color w:val="000000"/>
              </w:rPr>
              <w:t>3,266</w:t>
            </w:r>
          </w:p>
        </w:tc>
        <w:tc>
          <w:tcPr>
            <w:tcW w:w="1589" w:type="dxa"/>
            <w:vAlign w:val="bottom"/>
          </w:tcPr>
          <w:p w:rsidR="001711ED" w:rsidRDefault="00FF78B4">
            <w:pPr>
              <w:spacing w:beforeAutospacing="1" w:afterAutospacing="1"/>
              <w:jc w:val="right"/>
            </w:pPr>
            <w:r>
              <w:rPr>
                <w:color w:val="000000"/>
              </w:rPr>
              <w:t>25</w:t>
            </w:r>
          </w:p>
        </w:tc>
      </w:tr>
      <w:tr w:rsidR="001711ED">
        <w:trPr>
          <w:cantSplit/>
        </w:trPr>
        <w:tc>
          <w:tcPr>
            <w:tcW w:w="4821" w:type="dxa"/>
            <w:vAlign w:val="bottom"/>
          </w:tcPr>
          <w:p w:rsidR="001711ED" w:rsidRDefault="00FF78B4">
            <w:pPr>
              <w:spacing w:beforeAutospacing="1" w:afterAutospacing="1"/>
            </w:pPr>
            <w:r>
              <w:rPr>
                <w:color w:val="000000"/>
              </w:rPr>
              <w:t>Black or African American</w:t>
            </w:r>
          </w:p>
        </w:tc>
        <w:tc>
          <w:tcPr>
            <w:tcW w:w="1589" w:type="dxa"/>
            <w:vAlign w:val="bottom"/>
          </w:tcPr>
          <w:p w:rsidR="001711ED" w:rsidRDefault="00FF78B4">
            <w:pPr>
              <w:spacing w:beforeAutospacing="1" w:afterAutospacing="1"/>
              <w:jc w:val="right"/>
            </w:pPr>
            <w:r>
              <w:rPr>
                <w:color w:val="000000"/>
              </w:rPr>
              <w:t>2,267</w:t>
            </w:r>
          </w:p>
        </w:tc>
        <w:tc>
          <w:tcPr>
            <w:tcW w:w="1589" w:type="dxa"/>
            <w:vAlign w:val="bottom"/>
          </w:tcPr>
          <w:p w:rsidR="001711ED" w:rsidRDefault="00FF78B4">
            <w:pPr>
              <w:spacing w:beforeAutospacing="1" w:afterAutospacing="1"/>
              <w:jc w:val="right"/>
            </w:pPr>
            <w:r>
              <w:rPr>
                <w:color w:val="000000"/>
              </w:rPr>
              <w:t>38</w:t>
            </w:r>
          </w:p>
        </w:tc>
      </w:tr>
      <w:tr w:rsidR="001711ED">
        <w:trPr>
          <w:cantSplit/>
        </w:trPr>
        <w:tc>
          <w:tcPr>
            <w:tcW w:w="4821" w:type="dxa"/>
            <w:vAlign w:val="bottom"/>
          </w:tcPr>
          <w:p w:rsidR="001711ED" w:rsidRDefault="00FF78B4">
            <w:pPr>
              <w:spacing w:beforeAutospacing="1" w:afterAutospacing="1"/>
            </w:pPr>
            <w:r>
              <w:rPr>
                <w:color w:val="000000"/>
              </w:rPr>
              <w:t>Asian</w:t>
            </w:r>
          </w:p>
        </w:tc>
        <w:tc>
          <w:tcPr>
            <w:tcW w:w="1589" w:type="dxa"/>
            <w:vAlign w:val="bottom"/>
          </w:tcPr>
          <w:p w:rsidR="001711ED" w:rsidRDefault="00FF78B4">
            <w:pPr>
              <w:spacing w:beforeAutospacing="1" w:afterAutospacing="1"/>
              <w:jc w:val="right"/>
            </w:pPr>
            <w:r>
              <w:rPr>
                <w:color w:val="000000"/>
              </w:rPr>
              <w:t>4</w:t>
            </w:r>
          </w:p>
        </w:tc>
        <w:tc>
          <w:tcPr>
            <w:tcW w:w="1589" w:type="dxa"/>
            <w:vAlign w:val="bottom"/>
          </w:tcPr>
          <w:p w:rsidR="001711ED" w:rsidRDefault="00FF78B4">
            <w:pPr>
              <w:spacing w:beforeAutospacing="1" w:afterAutospacing="1"/>
              <w:jc w:val="right"/>
            </w:pPr>
            <w:r>
              <w:rPr>
                <w:color w:val="000000"/>
              </w:rPr>
              <w:t>5</w:t>
            </w:r>
          </w:p>
        </w:tc>
      </w:tr>
      <w:tr w:rsidR="001711ED">
        <w:trPr>
          <w:cantSplit/>
        </w:trPr>
        <w:tc>
          <w:tcPr>
            <w:tcW w:w="4821" w:type="dxa"/>
            <w:vAlign w:val="bottom"/>
          </w:tcPr>
          <w:p w:rsidR="001711ED" w:rsidRDefault="00FF78B4">
            <w:pPr>
              <w:spacing w:beforeAutospacing="1" w:afterAutospacing="1"/>
            </w:pPr>
            <w:r>
              <w:rPr>
                <w:color w:val="000000"/>
              </w:rPr>
              <w:t>American Indian or American Native</w:t>
            </w:r>
          </w:p>
        </w:tc>
        <w:tc>
          <w:tcPr>
            <w:tcW w:w="1589" w:type="dxa"/>
            <w:vAlign w:val="bottom"/>
          </w:tcPr>
          <w:p w:rsidR="001711ED" w:rsidRDefault="00FF78B4">
            <w:pPr>
              <w:spacing w:beforeAutospacing="1" w:afterAutospacing="1"/>
              <w:jc w:val="right"/>
            </w:pPr>
            <w:r>
              <w:rPr>
                <w:color w:val="000000"/>
              </w:rPr>
              <w:t>34</w:t>
            </w:r>
          </w:p>
        </w:tc>
        <w:tc>
          <w:tcPr>
            <w:tcW w:w="1589" w:type="dxa"/>
            <w:vAlign w:val="bottom"/>
          </w:tcPr>
          <w:p w:rsidR="001711ED" w:rsidRDefault="00FF78B4">
            <w:pPr>
              <w:spacing w:beforeAutospacing="1" w:afterAutospacing="1"/>
              <w:jc w:val="right"/>
            </w:pPr>
            <w:r>
              <w:rPr>
                <w:color w:val="000000"/>
              </w:rPr>
              <w:t>0</w:t>
            </w:r>
          </w:p>
        </w:tc>
      </w:tr>
      <w:tr w:rsidR="001711ED">
        <w:trPr>
          <w:cantSplit/>
        </w:trPr>
        <w:tc>
          <w:tcPr>
            <w:tcW w:w="4821" w:type="dxa"/>
            <w:vAlign w:val="bottom"/>
          </w:tcPr>
          <w:p w:rsidR="001711ED" w:rsidRDefault="00FF78B4">
            <w:pPr>
              <w:spacing w:beforeAutospacing="1" w:afterAutospacing="1"/>
            </w:pPr>
            <w:r>
              <w:rPr>
                <w:color w:val="000000"/>
              </w:rPr>
              <w:t>Native Hawaiian or Other Pacific Islander</w:t>
            </w:r>
          </w:p>
        </w:tc>
        <w:tc>
          <w:tcPr>
            <w:tcW w:w="1589" w:type="dxa"/>
            <w:vAlign w:val="bottom"/>
          </w:tcPr>
          <w:p w:rsidR="001711ED" w:rsidRDefault="00FF78B4">
            <w:pPr>
              <w:spacing w:beforeAutospacing="1" w:afterAutospacing="1"/>
              <w:jc w:val="right"/>
            </w:pPr>
            <w:r>
              <w:rPr>
                <w:color w:val="000000"/>
              </w:rPr>
              <w:t>4</w:t>
            </w:r>
          </w:p>
        </w:tc>
        <w:tc>
          <w:tcPr>
            <w:tcW w:w="1589" w:type="dxa"/>
            <w:vAlign w:val="bottom"/>
          </w:tcPr>
          <w:p w:rsidR="001711ED" w:rsidRDefault="00FF78B4">
            <w:pPr>
              <w:spacing w:beforeAutospacing="1" w:afterAutospacing="1"/>
              <w:jc w:val="right"/>
            </w:pPr>
            <w:r>
              <w:rPr>
                <w:color w:val="000000"/>
              </w:rPr>
              <w:t>0</w:t>
            </w:r>
          </w:p>
        </w:tc>
      </w:tr>
    </w:tbl>
    <w:p w:rsidR="001711ED" w:rsidRDefault="001711ED">
      <w:pPr>
        <w:pStyle w:val="NoSpacing"/>
        <w:rPr>
          <w:vanish/>
        </w:rPr>
      </w:pPr>
    </w:p>
    <w:tbl>
      <w:tblPr>
        <w:tblW w:w="41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7"/>
        <w:gridCol w:w="1551"/>
        <w:gridCol w:w="1551"/>
      </w:tblGrid>
      <w:tr w:rsidR="001711ED">
        <w:trPr>
          <w:cantSplit/>
          <w:hidden/>
        </w:trPr>
        <w:tc>
          <w:tcPr>
            <w:tcW w:w="3009" w:type="pct"/>
          </w:tcPr>
          <w:p w:rsidR="001711ED" w:rsidRDefault="001711ED">
            <w:pPr>
              <w:keepNext/>
              <w:widowControl w:val="0"/>
              <w:spacing w:after="0" w:line="240" w:lineRule="auto"/>
              <w:rPr>
                <w:vanish/>
              </w:rPr>
            </w:pPr>
          </w:p>
        </w:tc>
        <w:tc>
          <w:tcPr>
            <w:tcW w:w="992" w:type="pct"/>
          </w:tcPr>
          <w:p w:rsidR="001711ED" w:rsidRDefault="001711ED">
            <w:pPr>
              <w:keepNext/>
              <w:widowControl w:val="0"/>
              <w:spacing w:after="0" w:line="240" w:lineRule="auto"/>
              <w:jc w:val="center"/>
              <w:rPr>
                <w:b/>
                <w:vanish/>
              </w:rPr>
            </w:pPr>
          </w:p>
        </w:tc>
        <w:tc>
          <w:tcPr>
            <w:tcW w:w="992" w:type="pct"/>
          </w:tcPr>
          <w:p w:rsidR="001711ED" w:rsidRDefault="001711ED">
            <w:pPr>
              <w:keepNext/>
              <w:widowControl w:val="0"/>
              <w:spacing w:after="0" w:line="240" w:lineRule="auto"/>
              <w:jc w:val="center"/>
              <w:rPr>
                <w:b/>
                <w:vanish/>
              </w:rPr>
            </w:pPr>
          </w:p>
        </w:tc>
      </w:tr>
      <w:tr w:rsidR="001711ED">
        <w:trPr>
          <w:cantSplit/>
        </w:trPr>
        <w:tc>
          <w:tcPr>
            <w:tcW w:w="4821" w:type="dxa"/>
            <w:vAlign w:val="bottom"/>
          </w:tcPr>
          <w:p w:rsidR="001711ED" w:rsidRDefault="00FF78B4">
            <w:pPr>
              <w:spacing w:beforeAutospacing="1" w:afterAutospacing="1"/>
            </w:pPr>
            <w:r>
              <w:rPr>
                <w:b/>
                <w:color w:val="000000"/>
              </w:rPr>
              <w:t>Total</w:t>
            </w:r>
          </w:p>
        </w:tc>
        <w:tc>
          <w:tcPr>
            <w:tcW w:w="1589" w:type="dxa"/>
            <w:vAlign w:val="bottom"/>
          </w:tcPr>
          <w:p w:rsidR="001711ED" w:rsidRDefault="00FF78B4">
            <w:pPr>
              <w:spacing w:beforeAutospacing="1" w:afterAutospacing="1"/>
              <w:jc w:val="right"/>
            </w:pPr>
            <w:r>
              <w:rPr>
                <w:b/>
                <w:color w:val="000000"/>
              </w:rPr>
              <w:t>5,575</w:t>
            </w:r>
          </w:p>
        </w:tc>
        <w:tc>
          <w:tcPr>
            <w:tcW w:w="1589" w:type="dxa"/>
            <w:vAlign w:val="bottom"/>
          </w:tcPr>
          <w:p w:rsidR="001711ED" w:rsidRDefault="00FF78B4">
            <w:pPr>
              <w:spacing w:beforeAutospacing="1" w:afterAutospacing="1"/>
              <w:jc w:val="right"/>
            </w:pPr>
            <w:r>
              <w:rPr>
                <w:b/>
                <w:color w:val="000000"/>
              </w:rPr>
              <w:t>68</w:t>
            </w:r>
          </w:p>
        </w:tc>
      </w:tr>
    </w:tbl>
    <w:p w:rsidR="001711ED" w:rsidRDefault="001711ED">
      <w:pPr>
        <w:pStyle w:val="NoSpacing"/>
        <w:rPr>
          <w:vanish/>
        </w:rPr>
      </w:pPr>
    </w:p>
    <w:tbl>
      <w:tblPr>
        <w:tblW w:w="41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7"/>
        <w:gridCol w:w="1551"/>
        <w:gridCol w:w="1551"/>
      </w:tblGrid>
      <w:tr w:rsidR="001711ED">
        <w:trPr>
          <w:cantSplit/>
          <w:hidden/>
        </w:trPr>
        <w:tc>
          <w:tcPr>
            <w:tcW w:w="3009" w:type="pct"/>
          </w:tcPr>
          <w:p w:rsidR="001711ED" w:rsidRDefault="001711ED">
            <w:pPr>
              <w:keepNext/>
              <w:widowControl w:val="0"/>
              <w:spacing w:after="0" w:line="240" w:lineRule="auto"/>
              <w:rPr>
                <w:vanish/>
              </w:rPr>
            </w:pPr>
          </w:p>
        </w:tc>
        <w:tc>
          <w:tcPr>
            <w:tcW w:w="992" w:type="pct"/>
          </w:tcPr>
          <w:p w:rsidR="001711ED" w:rsidRDefault="001711ED">
            <w:pPr>
              <w:keepNext/>
              <w:widowControl w:val="0"/>
              <w:spacing w:after="0" w:line="240" w:lineRule="auto"/>
              <w:jc w:val="center"/>
              <w:rPr>
                <w:b/>
                <w:vanish/>
              </w:rPr>
            </w:pPr>
          </w:p>
        </w:tc>
        <w:tc>
          <w:tcPr>
            <w:tcW w:w="992" w:type="pct"/>
          </w:tcPr>
          <w:p w:rsidR="001711ED" w:rsidRDefault="001711ED">
            <w:pPr>
              <w:keepNext/>
              <w:widowControl w:val="0"/>
              <w:spacing w:after="0" w:line="240" w:lineRule="auto"/>
              <w:jc w:val="center"/>
              <w:rPr>
                <w:b/>
                <w:vanish/>
              </w:rPr>
            </w:pPr>
          </w:p>
        </w:tc>
      </w:tr>
      <w:tr w:rsidR="001711ED">
        <w:trPr>
          <w:cantSplit/>
        </w:trPr>
        <w:tc>
          <w:tcPr>
            <w:tcW w:w="4821" w:type="dxa"/>
            <w:vAlign w:val="bottom"/>
          </w:tcPr>
          <w:p w:rsidR="001711ED" w:rsidRDefault="00FF78B4">
            <w:pPr>
              <w:spacing w:beforeAutospacing="1" w:afterAutospacing="1"/>
            </w:pPr>
            <w:r>
              <w:rPr>
                <w:color w:val="000000"/>
              </w:rPr>
              <w:t>Hispanic</w:t>
            </w:r>
          </w:p>
        </w:tc>
        <w:tc>
          <w:tcPr>
            <w:tcW w:w="1589" w:type="dxa"/>
            <w:vAlign w:val="bottom"/>
          </w:tcPr>
          <w:p w:rsidR="001711ED" w:rsidRDefault="00FF78B4">
            <w:pPr>
              <w:spacing w:beforeAutospacing="1" w:afterAutospacing="1"/>
              <w:jc w:val="right"/>
            </w:pPr>
            <w:r>
              <w:rPr>
                <w:color w:val="000000"/>
              </w:rPr>
              <w:t>719</w:t>
            </w:r>
          </w:p>
        </w:tc>
        <w:tc>
          <w:tcPr>
            <w:tcW w:w="1589" w:type="dxa"/>
            <w:vAlign w:val="bottom"/>
          </w:tcPr>
          <w:p w:rsidR="001711ED" w:rsidRDefault="00FF78B4">
            <w:pPr>
              <w:spacing w:beforeAutospacing="1" w:afterAutospacing="1"/>
              <w:jc w:val="right"/>
            </w:pPr>
            <w:r>
              <w:rPr>
                <w:color w:val="000000"/>
              </w:rPr>
              <w:t>0</w:t>
            </w:r>
          </w:p>
        </w:tc>
      </w:tr>
      <w:tr w:rsidR="001711ED">
        <w:trPr>
          <w:cantSplit/>
        </w:trPr>
        <w:tc>
          <w:tcPr>
            <w:tcW w:w="4821" w:type="dxa"/>
            <w:vAlign w:val="bottom"/>
          </w:tcPr>
          <w:p w:rsidR="001711ED" w:rsidRDefault="00FF78B4">
            <w:pPr>
              <w:spacing w:beforeAutospacing="1" w:afterAutospacing="1"/>
            </w:pPr>
            <w:r>
              <w:rPr>
                <w:color w:val="000000"/>
              </w:rPr>
              <w:t>Not Hispanic</w:t>
            </w:r>
          </w:p>
        </w:tc>
        <w:tc>
          <w:tcPr>
            <w:tcW w:w="1589" w:type="dxa"/>
            <w:vAlign w:val="bottom"/>
          </w:tcPr>
          <w:p w:rsidR="001711ED" w:rsidRDefault="00FF78B4">
            <w:pPr>
              <w:spacing w:beforeAutospacing="1" w:afterAutospacing="1"/>
              <w:jc w:val="right"/>
            </w:pPr>
            <w:r>
              <w:rPr>
                <w:color w:val="000000"/>
              </w:rPr>
              <w:t>4,856</w:t>
            </w:r>
          </w:p>
        </w:tc>
        <w:tc>
          <w:tcPr>
            <w:tcW w:w="1589" w:type="dxa"/>
            <w:vAlign w:val="bottom"/>
          </w:tcPr>
          <w:p w:rsidR="001711ED" w:rsidRDefault="00FF78B4">
            <w:pPr>
              <w:spacing w:beforeAutospacing="1" w:afterAutospacing="1"/>
              <w:jc w:val="right"/>
            </w:pPr>
            <w:r>
              <w:rPr>
                <w:color w:val="000000"/>
              </w:rPr>
              <w:t>68</w:t>
            </w:r>
          </w:p>
        </w:tc>
      </w:tr>
    </w:tbl>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keepNext/>
        <w:widowControl w:val="0"/>
        <w:spacing w:after="0" w:line="240" w:lineRule="auto"/>
        <w:rPr>
          <w:b/>
          <w:vanish/>
          <w:sz w:val="24"/>
          <w:szCs w:val="24"/>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pStyle w:val="NoSpacing"/>
        <w:rPr>
          <w:vanish/>
        </w:rPr>
      </w:pPr>
    </w:p>
    <w:p w:rsidR="001711ED" w:rsidRDefault="001711ED">
      <w:pPr>
        <w:keepNext/>
        <w:widowControl w:val="0"/>
        <w:rPr>
          <w:rFonts w:asciiTheme="minorHAnsi" w:hAnsiTheme="minorHAnsi"/>
          <w:b/>
          <w:sz w:val="20"/>
          <w:szCs w:val="20"/>
        </w:rPr>
      </w:pPr>
    </w:p>
    <w:p w:rsidR="001711ED" w:rsidRDefault="001711ED">
      <w:pPr>
        <w:keepNext/>
        <w:widowControl w:val="0"/>
        <w:rPr>
          <w:rFonts w:asciiTheme="minorHAnsi" w:hAnsiTheme="minorHAnsi"/>
          <w:b/>
          <w:sz w:val="20"/>
          <w:szCs w:val="20"/>
        </w:rPr>
      </w:pPr>
    </w:p>
    <w:p w:rsidR="001711ED" w:rsidRDefault="00FF78B4">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sidR="00351C28">
        <w:rPr>
          <w:rFonts w:asciiTheme="minorHAnsi" w:hAnsiTheme="minorHAnsi"/>
          <w:b/>
          <w:noProof/>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rsidR="001711ED" w:rsidRDefault="001711ED">
      <w:pPr>
        <w:widowControl w:val="0"/>
        <w:rPr>
          <w:b/>
          <w:sz w:val="24"/>
          <w:szCs w:val="24"/>
        </w:rPr>
      </w:pPr>
    </w:p>
    <w:p w:rsidR="001711ED" w:rsidRDefault="00FF78B4">
      <w:pPr>
        <w:widowControl w:val="0"/>
        <w:rPr>
          <w:b/>
          <w:sz w:val="24"/>
          <w:szCs w:val="24"/>
        </w:rPr>
      </w:pPr>
      <w:r>
        <w:rPr>
          <w:b/>
          <w:sz w:val="24"/>
          <w:szCs w:val="24"/>
        </w:rPr>
        <w:t>Narrative</w:t>
      </w:r>
    </w:p>
    <w:p w:rsidR="001711ED" w:rsidRDefault="00FF78B4">
      <w:pPr>
        <w:widowControl w:val="0"/>
        <w:spacing w:beforeAutospacing="1" w:afterAutospacing="1"/>
      </w:pPr>
      <w:r>
        <w:t>White individual and households and Black or African American individuals and households continue to be the largest demographic segments of the population served within Gastonia and Gaston County. During FY 2022-2023, the largest percentage of populations assisted were Black or African American households at 55.8</w:t>
      </w:r>
      <w:proofErr w:type="gramStart"/>
      <w:r>
        <w:t>%  and</w:t>
      </w:r>
      <w:proofErr w:type="gramEnd"/>
      <w:r>
        <w:t xml:space="preserve"> White households at 36.7% through use of the HOME Investment Partnerships Program.  The Community Development Block Grant (CDBG) Program, 48.09% of the persons assisted were Black/African American and 50.35% of the persons assisted were White.</w:t>
      </w:r>
    </w:p>
    <w:p w:rsidR="001711ED" w:rsidRDefault="001711ED">
      <w:pPr>
        <w:widowControl w:val="0"/>
      </w:pPr>
    </w:p>
    <w:p w:rsidR="001711ED" w:rsidRDefault="001711ED">
      <w:pPr>
        <w:sectPr w:rsidR="001711ED">
          <w:pgSz w:w="12240" w:h="15840" w:code="1"/>
          <w:pgMar w:top="1440" w:right="1440" w:bottom="1440" w:left="1440" w:header="720" w:footer="720" w:gutter="0"/>
          <w:cols w:space="720"/>
          <w:docGrid w:linePitch="360"/>
        </w:sectPr>
      </w:pPr>
    </w:p>
    <w:bookmarkEnd w:id="1"/>
    <w:p w:rsidR="001711ED" w:rsidRDefault="00FF78B4">
      <w:pPr>
        <w:pStyle w:val="Heading2"/>
        <w:rPr>
          <w:rFonts w:ascii="Calibri" w:hAnsi="Calibri"/>
          <w:i w:val="0"/>
        </w:rPr>
      </w:pPr>
      <w:r>
        <w:rPr>
          <w:rFonts w:ascii="Calibri" w:hAnsi="Calibri"/>
          <w:i w:val="0"/>
        </w:rPr>
        <w:lastRenderedPageBreak/>
        <w:t>CR-15 - Resources and Investments 91.520(a)</w:t>
      </w:r>
    </w:p>
    <w:p w:rsidR="001711ED" w:rsidRDefault="00FF78B4">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332"/>
        <w:gridCol w:w="2344"/>
        <w:gridCol w:w="2343"/>
      </w:tblGrid>
      <w:tr w:rsidR="001711ED">
        <w:trPr>
          <w:cantSplit/>
        </w:trPr>
        <w:tc>
          <w:tcPr>
            <w:tcW w:w="2394" w:type="dxa"/>
          </w:tcPr>
          <w:p w:rsidR="001711ED" w:rsidRDefault="00FF78B4">
            <w:pPr>
              <w:keepNext/>
              <w:widowControl w:val="0"/>
              <w:spacing w:after="0" w:line="240" w:lineRule="auto"/>
              <w:jc w:val="center"/>
              <w:rPr>
                <w:rFonts w:cs="Arial"/>
                <w:b/>
              </w:rPr>
            </w:pPr>
            <w:r>
              <w:rPr>
                <w:rFonts w:cs="Arial"/>
                <w:b/>
              </w:rPr>
              <w:t>Source of Funds</w:t>
            </w:r>
          </w:p>
        </w:tc>
        <w:tc>
          <w:tcPr>
            <w:tcW w:w="2394" w:type="dxa"/>
          </w:tcPr>
          <w:p w:rsidR="001711ED" w:rsidRDefault="00FF78B4">
            <w:pPr>
              <w:keepNext/>
              <w:widowControl w:val="0"/>
              <w:spacing w:after="0" w:line="240" w:lineRule="auto"/>
              <w:jc w:val="center"/>
              <w:rPr>
                <w:rFonts w:cs="Arial"/>
                <w:b/>
              </w:rPr>
            </w:pPr>
            <w:r>
              <w:rPr>
                <w:rFonts w:cs="Arial"/>
                <w:b/>
              </w:rPr>
              <w:t>Source</w:t>
            </w:r>
          </w:p>
        </w:tc>
        <w:tc>
          <w:tcPr>
            <w:tcW w:w="2394" w:type="dxa"/>
          </w:tcPr>
          <w:p w:rsidR="001711ED" w:rsidRDefault="00FF78B4">
            <w:pPr>
              <w:keepNext/>
              <w:spacing w:after="0" w:line="240" w:lineRule="auto"/>
              <w:jc w:val="center"/>
              <w:rPr>
                <w:rFonts w:cs="Arial"/>
                <w:b/>
              </w:rPr>
            </w:pPr>
            <w:r>
              <w:rPr>
                <w:rFonts w:cs="Arial"/>
                <w:b/>
              </w:rPr>
              <w:t>Resources Made Available</w:t>
            </w:r>
          </w:p>
        </w:tc>
        <w:tc>
          <w:tcPr>
            <w:tcW w:w="2394" w:type="dxa"/>
          </w:tcPr>
          <w:p w:rsidR="001711ED" w:rsidRDefault="00FF78B4">
            <w:pPr>
              <w:keepNext/>
              <w:widowControl w:val="0"/>
              <w:spacing w:after="0" w:line="240" w:lineRule="auto"/>
              <w:jc w:val="center"/>
              <w:rPr>
                <w:rFonts w:cs="Arial"/>
                <w:b/>
              </w:rPr>
            </w:pPr>
            <w:r>
              <w:rPr>
                <w:rFonts w:cs="Arial"/>
                <w:b/>
              </w:rPr>
              <w:t>Amount Expended During Program Year</w:t>
            </w:r>
          </w:p>
        </w:tc>
      </w:tr>
      <w:tr w:rsidR="001711ED">
        <w:trPr>
          <w:cantSplit/>
        </w:trPr>
        <w:tc>
          <w:tcPr>
            <w:tcW w:w="0" w:type="auto"/>
            <w:vAlign w:val="bottom"/>
          </w:tcPr>
          <w:p w:rsidR="001711ED" w:rsidRDefault="00FF78B4">
            <w:pPr>
              <w:spacing w:beforeAutospacing="1" w:afterAutospacing="1"/>
            </w:pPr>
            <w:r>
              <w:rPr>
                <w:color w:val="000000"/>
              </w:rPr>
              <w:t>CDBG</w:t>
            </w:r>
          </w:p>
        </w:tc>
        <w:tc>
          <w:tcPr>
            <w:tcW w:w="0" w:type="auto"/>
            <w:vAlign w:val="bottom"/>
          </w:tcPr>
          <w:p w:rsidR="001711ED" w:rsidRDefault="00FF78B4">
            <w:pPr>
              <w:spacing w:beforeAutospacing="1" w:afterAutospacing="1"/>
            </w:pPr>
            <w:r>
              <w:rPr>
                <w:color w:val="000000"/>
              </w:rPr>
              <w:t>public - federal</w:t>
            </w:r>
          </w:p>
        </w:tc>
        <w:tc>
          <w:tcPr>
            <w:tcW w:w="0" w:type="auto"/>
            <w:vAlign w:val="bottom"/>
          </w:tcPr>
          <w:p w:rsidR="001711ED" w:rsidRDefault="00FF78B4">
            <w:pPr>
              <w:spacing w:beforeAutospacing="1" w:afterAutospacing="1"/>
              <w:jc w:val="right"/>
            </w:pPr>
            <w:r>
              <w:rPr>
                <w:color w:val="000000"/>
              </w:rPr>
              <w:t>646,964</w:t>
            </w:r>
          </w:p>
        </w:tc>
        <w:tc>
          <w:tcPr>
            <w:tcW w:w="0" w:type="auto"/>
            <w:vAlign w:val="bottom"/>
          </w:tcPr>
          <w:p w:rsidR="001711ED" w:rsidRDefault="00FF78B4">
            <w:pPr>
              <w:spacing w:beforeAutospacing="1" w:afterAutospacing="1"/>
              <w:jc w:val="right"/>
            </w:pPr>
            <w:r>
              <w:rPr>
                <w:color w:val="000000"/>
              </w:rPr>
              <w:t>546,547</w:t>
            </w:r>
          </w:p>
        </w:tc>
      </w:tr>
      <w:tr w:rsidR="001711ED">
        <w:trPr>
          <w:cantSplit/>
        </w:trPr>
        <w:tc>
          <w:tcPr>
            <w:tcW w:w="0" w:type="auto"/>
            <w:vAlign w:val="bottom"/>
          </w:tcPr>
          <w:p w:rsidR="001711ED" w:rsidRDefault="00FF78B4">
            <w:pPr>
              <w:spacing w:beforeAutospacing="1" w:afterAutospacing="1"/>
            </w:pPr>
            <w:r>
              <w:rPr>
                <w:color w:val="000000"/>
              </w:rPr>
              <w:t>HOME</w:t>
            </w:r>
          </w:p>
        </w:tc>
        <w:tc>
          <w:tcPr>
            <w:tcW w:w="0" w:type="auto"/>
            <w:vAlign w:val="bottom"/>
          </w:tcPr>
          <w:p w:rsidR="001711ED" w:rsidRDefault="00FF78B4">
            <w:pPr>
              <w:spacing w:beforeAutospacing="1" w:afterAutospacing="1"/>
            </w:pPr>
            <w:r>
              <w:rPr>
                <w:color w:val="000000"/>
              </w:rPr>
              <w:t>public - federal</w:t>
            </w:r>
          </w:p>
        </w:tc>
        <w:tc>
          <w:tcPr>
            <w:tcW w:w="0" w:type="auto"/>
            <w:vAlign w:val="bottom"/>
          </w:tcPr>
          <w:p w:rsidR="001711ED" w:rsidRDefault="00FF78B4">
            <w:pPr>
              <w:spacing w:beforeAutospacing="1" w:afterAutospacing="1"/>
              <w:jc w:val="right"/>
            </w:pPr>
            <w:r>
              <w:rPr>
                <w:color w:val="000000"/>
              </w:rPr>
              <w:t>851,616</w:t>
            </w:r>
          </w:p>
        </w:tc>
        <w:tc>
          <w:tcPr>
            <w:tcW w:w="0" w:type="auto"/>
            <w:vAlign w:val="bottom"/>
          </w:tcPr>
          <w:p w:rsidR="001711ED" w:rsidRDefault="00FF78B4">
            <w:pPr>
              <w:spacing w:beforeAutospacing="1" w:afterAutospacing="1"/>
              <w:jc w:val="right"/>
            </w:pPr>
            <w:r>
              <w:rPr>
                <w:color w:val="000000"/>
              </w:rPr>
              <w:t>111,604</w:t>
            </w:r>
          </w:p>
        </w:tc>
      </w:tr>
    </w:tbl>
    <w:p w:rsidR="001711ED" w:rsidRDefault="00FF78B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51C28">
        <w:rPr>
          <w:rFonts w:asciiTheme="minorHAnsi" w:hAnsiTheme="minorHAnsi"/>
          <w:noProof/>
        </w:rPr>
        <w:t>3</w:t>
      </w:r>
      <w:r>
        <w:rPr>
          <w:rFonts w:asciiTheme="minorHAnsi" w:hAnsiTheme="minorHAnsi"/>
        </w:rPr>
        <w:fldChar w:fldCharType="end"/>
      </w:r>
      <w:r>
        <w:rPr>
          <w:rFonts w:asciiTheme="minorHAnsi" w:hAnsiTheme="minorHAnsi"/>
        </w:rPr>
        <w:t xml:space="preserve"> - Resources Made Available</w:t>
      </w:r>
    </w:p>
    <w:p w:rsidR="001711ED" w:rsidRDefault="001711ED">
      <w:pPr>
        <w:spacing w:after="0" w:line="240" w:lineRule="auto"/>
        <w:rPr>
          <w:b/>
          <w:sz w:val="24"/>
          <w:szCs w:val="24"/>
        </w:rPr>
      </w:pPr>
    </w:p>
    <w:p w:rsidR="001711ED" w:rsidRDefault="00FF78B4">
      <w:pPr>
        <w:spacing w:after="0" w:line="240" w:lineRule="auto"/>
        <w:rPr>
          <w:b/>
          <w:sz w:val="24"/>
          <w:szCs w:val="24"/>
        </w:rPr>
      </w:pPr>
      <w:r>
        <w:rPr>
          <w:b/>
          <w:sz w:val="24"/>
          <w:szCs w:val="24"/>
        </w:rPr>
        <w:t>Narrative</w:t>
      </w:r>
    </w:p>
    <w:p w:rsidR="001711ED" w:rsidRDefault="001711ED">
      <w:pPr>
        <w:spacing w:after="0" w:line="240" w:lineRule="auto"/>
        <w:rPr>
          <w:rFonts w:cs="Arial"/>
        </w:rPr>
      </w:pPr>
    </w:p>
    <w:p w:rsidR="001711ED" w:rsidRDefault="001711ED">
      <w:pPr>
        <w:spacing w:after="0" w:line="240" w:lineRule="auto"/>
        <w:rPr>
          <w:b/>
          <w:sz w:val="24"/>
          <w:szCs w:val="24"/>
        </w:rPr>
      </w:pPr>
    </w:p>
    <w:p w:rsidR="001711ED" w:rsidRDefault="00FF78B4">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2340"/>
        <w:gridCol w:w="2340"/>
        <w:gridCol w:w="2341"/>
      </w:tblGrid>
      <w:tr w:rsidR="001711ED">
        <w:trPr>
          <w:cantSplit/>
        </w:trPr>
        <w:tc>
          <w:tcPr>
            <w:tcW w:w="2394" w:type="dxa"/>
          </w:tcPr>
          <w:p w:rsidR="001711ED" w:rsidRDefault="00FF78B4">
            <w:pPr>
              <w:keepNext/>
              <w:widowControl w:val="0"/>
              <w:spacing w:after="0" w:line="240" w:lineRule="auto"/>
              <w:jc w:val="center"/>
              <w:rPr>
                <w:rFonts w:cs="Arial"/>
                <w:b/>
              </w:rPr>
            </w:pPr>
            <w:r>
              <w:rPr>
                <w:rFonts w:cs="Arial"/>
                <w:b/>
              </w:rPr>
              <w:t>Target Area</w:t>
            </w:r>
          </w:p>
        </w:tc>
        <w:tc>
          <w:tcPr>
            <w:tcW w:w="2394" w:type="dxa"/>
          </w:tcPr>
          <w:p w:rsidR="001711ED" w:rsidRDefault="00FF78B4">
            <w:pPr>
              <w:keepNext/>
              <w:widowControl w:val="0"/>
              <w:spacing w:after="0" w:line="240" w:lineRule="auto"/>
              <w:jc w:val="center"/>
              <w:rPr>
                <w:rFonts w:cs="Arial"/>
                <w:b/>
              </w:rPr>
            </w:pPr>
            <w:r>
              <w:rPr>
                <w:rFonts w:cs="Arial"/>
                <w:b/>
              </w:rPr>
              <w:t>Planned Percentage of Allocation</w:t>
            </w:r>
          </w:p>
        </w:tc>
        <w:tc>
          <w:tcPr>
            <w:tcW w:w="2394" w:type="dxa"/>
          </w:tcPr>
          <w:p w:rsidR="001711ED" w:rsidRDefault="00FF78B4">
            <w:pPr>
              <w:keepNext/>
              <w:spacing w:after="0" w:line="240" w:lineRule="auto"/>
              <w:jc w:val="center"/>
              <w:rPr>
                <w:rFonts w:cs="Arial"/>
                <w:b/>
              </w:rPr>
            </w:pPr>
            <w:r>
              <w:rPr>
                <w:rFonts w:cs="Arial"/>
                <w:b/>
              </w:rPr>
              <w:t>Actual Percentage of Allocation</w:t>
            </w:r>
          </w:p>
        </w:tc>
        <w:tc>
          <w:tcPr>
            <w:tcW w:w="2394" w:type="dxa"/>
          </w:tcPr>
          <w:p w:rsidR="001711ED" w:rsidRDefault="00FF78B4">
            <w:pPr>
              <w:keepNext/>
              <w:widowControl w:val="0"/>
              <w:spacing w:after="0" w:line="240" w:lineRule="auto"/>
              <w:jc w:val="center"/>
              <w:rPr>
                <w:rFonts w:cs="Arial"/>
                <w:b/>
              </w:rPr>
            </w:pPr>
            <w:r>
              <w:rPr>
                <w:rFonts w:cs="Arial"/>
                <w:b/>
              </w:rPr>
              <w:t>Narrative Description</w:t>
            </w:r>
          </w:p>
        </w:tc>
      </w:tr>
      <w:tr w:rsidR="001711ED">
        <w:trPr>
          <w:cantSplit/>
        </w:trPr>
        <w:tc>
          <w:tcPr>
            <w:tcW w:w="0" w:type="auto"/>
            <w:vAlign w:val="bottom"/>
          </w:tcPr>
          <w:p w:rsidR="001711ED" w:rsidRDefault="00FF78B4">
            <w:pPr>
              <w:spacing w:beforeAutospacing="1" w:afterAutospacing="1"/>
            </w:pPr>
            <w:r>
              <w:rPr>
                <w:color w:val="000000"/>
              </w:rPr>
              <w:t>Central Gastonia</w:t>
            </w:r>
          </w:p>
        </w:tc>
        <w:tc>
          <w:tcPr>
            <w:tcW w:w="0" w:type="auto"/>
            <w:vAlign w:val="bottom"/>
          </w:tcPr>
          <w:p w:rsidR="001711ED" w:rsidRDefault="00FF78B4">
            <w:pPr>
              <w:spacing w:beforeAutospacing="1" w:afterAutospacing="1"/>
            </w:pPr>
            <w:r>
              <w:rPr>
                <w:color w:val="000000"/>
              </w:rPr>
              <w:t>100</w:t>
            </w:r>
          </w:p>
        </w:tc>
        <w:tc>
          <w:tcPr>
            <w:tcW w:w="0" w:type="auto"/>
            <w:vAlign w:val="bottom"/>
          </w:tcPr>
          <w:p w:rsidR="001711ED" w:rsidRDefault="00FF78B4">
            <w:pPr>
              <w:spacing w:beforeAutospacing="1" w:afterAutospacing="1"/>
            </w:pPr>
            <w:r>
              <w:rPr>
                <w:color w:val="000000"/>
              </w:rPr>
              <w:t xml:space="preserve"> </w:t>
            </w:r>
          </w:p>
        </w:tc>
        <w:tc>
          <w:tcPr>
            <w:tcW w:w="0" w:type="auto"/>
            <w:vAlign w:val="bottom"/>
          </w:tcPr>
          <w:p w:rsidR="001711ED" w:rsidRDefault="00FF78B4">
            <w:pPr>
              <w:spacing w:beforeAutospacing="1" w:afterAutospacing="1"/>
            </w:pPr>
            <w:r>
              <w:rPr>
                <w:color w:val="000000"/>
              </w:rPr>
              <w:t xml:space="preserve"> </w:t>
            </w:r>
          </w:p>
        </w:tc>
      </w:tr>
    </w:tbl>
    <w:p w:rsidR="001711ED" w:rsidRDefault="00FF78B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51C28">
        <w:rPr>
          <w:rFonts w:asciiTheme="minorHAnsi" w:hAnsiTheme="minorHAnsi"/>
          <w:noProof/>
        </w:rPr>
        <w:t>4</w:t>
      </w:r>
      <w:r>
        <w:rPr>
          <w:rFonts w:asciiTheme="minorHAnsi" w:hAnsiTheme="minorHAnsi"/>
        </w:rPr>
        <w:fldChar w:fldCharType="end"/>
      </w:r>
      <w:r>
        <w:rPr>
          <w:rFonts w:asciiTheme="minorHAnsi" w:hAnsiTheme="minorHAnsi"/>
        </w:rPr>
        <w:t xml:space="preserve"> – Identify the geographic distribution and location of investments</w:t>
      </w:r>
    </w:p>
    <w:p w:rsidR="001711ED" w:rsidRDefault="001711ED">
      <w:pPr>
        <w:keepNext/>
        <w:widowControl w:val="0"/>
        <w:spacing w:line="204" w:lineRule="auto"/>
        <w:rPr>
          <w:b/>
          <w:sz w:val="24"/>
          <w:szCs w:val="24"/>
        </w:rPr>
      </w:pPr>
    </w:p>
    <w:p w:rsidR="001711ED" w:rsidRDefault="00FF78B4">
      <w:pPr>
        <w:widowControl w:val="0"/>
        <w:spacing w:line="204" w:lineRule="auto"/>
        <w:rPr>
          <w:b/>
          <w:sz w:val="24"/>
          <w:szCs w:val="24"/>
        </w:rPr>
      </w:pPr>
      <w:r>
        <w:rPr>
          <w:b/>
          <w:sz w:val="24"/>
          <w:szCs w:val="24"/>
        </w:rPr>
        <w:t>Narrative</w:t>
      </w:r>
    </w:p>
    <w:p w:rsidR="001711ED" w:rsidRDefault="001711ED">
      <w:pPr>
        <w:widowControl w:val="0"/>
        <w:spacing w:line="204" w:lineRule="auto"/>
        <w:rPr>
          <w:rFonts w:cs="Arial"/>
        </w:rPr>
      </w:pPr>
    </w:p>
    <w:p w:rsidR="001711ED" w:rsidRDefault="00FF78B4">
      <w:pPr>
        <w:pageBreakBefore/>
        <w:widowControl w:val="0"/>
        <w:spacing w:line="240" w:lineRule="auto"/>
        <w:rPr>
          <w:b/>
          <w:sz w:val="24"/>
          <w:szCs w:val="24"/>
        </w:rPr>
      </w:pPr>
      <w:r>
        <w:rPr>
          <w:b/>
          <w:sz w:val="24"/>
          <w:szCs w:val="24"/>
        </w:rPr>
        <w:lastRenderedPageBreak/>
        <w:t>Leveraging</w:t>
      </w:r>
    </w:p>
    <w:p w:rsidR="001711ED" w:rsidRDefault="00FF78B4">
      <w:pPr>
        <w:widowControl w:val="0"/>
        <w:spacing w:line="240" w:lineRule="auto"/>
        <w:rPr>
          <w:b/>
          <w:sz w:val="24"/>
          <w:szCs w:val="24"/>
        </w:rPr>
      </w:pPr>
      <w:r>
        <w:rPr>
          <w:b/>
          <w:sz w:val="24"/>
          <w:szCs w:val="24"/>
        </w:rPr>
        <w:t xml:space="preserve">Explain how federal </w:t>
      </w:r>
      <w:proofErr w:type="gramStart"/>
      <w:r>
        <w:rPr>
          <w:b/>
          <w:sz w:val="24"/>
          <w:szCs w:val="24"/>
        </w:rPr>
        <w:t>funds  leveraged</w:t>
      </w:r>
      <w:proofErr w:type="gramEnd"/>
      <w:r>
        <w:rPr>
          <w:b/>
          <w:sz w:val="24"/>
          <w:szCs w:val="24"/>
        </w:rPr>
        <w:t xml:space="preserve"> additional resources (private, state and local funds), including a description of how matching requirements were satisfied, as well as how any publicly owned land or property located within the jurisdiction that were used to address the needs identified in the plan.</w:t>
      </w:r>
    </w:p>
    <w:p w:rsidR="001711ED" w:rsidRDefault="00FF78B4">
      <w:pPr>
        <w:widowControl w:val="0"/>
        <w:spacing w:beforeAutospacing="1" w:afterAutospacing="1"/>
        <w:rPr>
          <w:sz w:val="24"/>
          <w:szCs w:val="24"/>
        </w:rPr>
      </w:pPr>
      <w:r>
        <w:rPr>
          <w:sz w:val="24"/>
          <w:szCs w:val="24"/>
        </w:rPr>
        <w:t xml:space="preserve">Additional federal funds were leveraged though down payment assistance activities. The local lending institutions provide permanent financing to program applicants and provide leverage through waived bank fees. The City continues to work with mortgage lenders in the creation and implementation of their CRA Affordable Housing Programs. Match requirements were met and </w:t>
      </w:r>
      <w:proofErr w:type="spellStart"/>
      <w:r>
        <w:rPr>
          <w:sz w:val="24"/>
          <w:szCs w:val="24"/>
        </w:rPr>
        <w:t>satisifed</w:t>
      </w:r>
      <w:proofErr w:type="spellEnd"/>
      <w:r>
        <w:rPr>
          <w:sz w:val="24"/>
          <w:szCs w:val="24"/>
        </w:rPr>
        <w:t xml:space="preserve"> homebuyer activities.</w:t>
      </w:r>
    </w:p>
    <w:p w:rsidR="001711ED" w:rsidRDefault="001711ED">
      <w:pPr>
        <w:widowControl w:val="0"/>
        <w:spacing w:after="0" w:line="240" w:lineRule="auto"/>
        <w:rPr>
          <w:sz w:val="24"/>
          <w:szCs w:val="24"/>
        </w:rPr>
      </w:pPr>
    </w:p>
    <w:p w:rsidR="001711ED" w:rsidRDefault="001711ED">
      <w:pPr>
        <w:spacing w:after="0" w:line="240" w:lineRule="auto"/>
        <w:rPr>
          <w:b/>
        </w:rPr>
      </w:pPr>
    </w:p>
    <w:p w:rsidR="001711ED" w:rsidRDefault="001711ED">
      <w:pPr>
        <w:widowControl w:val="0"/>
        <w:spacing w:line="204"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5"/>
        <w:gridCol w:w="1305"/>
      </w:tblGrid>
      <w:tr w:rsidR="001711ED">
        <w:trPr>
          <w:cantSplit/>
          <w:tblHeader/>
        </w:trPr>
        <w:tc>
          <w:tcPr>
            <w:tcW w:w="9576" w:type="dxa"/>
            <w:gridSpan w:val="2"/>
          </w:tcPr>
          <w:p w:rsidR="001711ED" w:rsidRDefault="00FF78B4">
            <w:pPr>
              <w:keepNext/>
              <w:widowControl w:val="0"/>
              <w:spacing w:after="0" w:line="240" w:lineRule="auto"/>
              <w:jc w:val="center"/>
              <w:rPr>
                <w:rFonts w:cs="Arial"/>
              </w:rPr>
            </w:pPr>
            <w:r>
              <w:rPr>
                <w:b/>
              </w:rPr>
              <w:t>Fiscal Year Summary – HOME Match</w:t>
            </w:r>
          </w:p>
        </w:tc>
      </w:tr>
      <w:tr w:rsidR="001711ED">
        <w:trPr>
          <w:cantSplit/>
        </w:trPr>
        <w:tc>
          <w:tcPr>
            <w:tcW w:w="0" w:type="auto"/>
            <w:vAlign w:val="bottom"/>
          </w:tcPr>
          <w:p w:rsidR="001711ED" w:rsidRDefault="00FF78B4">
            <w:pPr>
              <w:spacing w:beforeAutospacing="1" w:afterAutospacing="1"/>
            </w:pPr>
            <w:r>
              <w:rPr>
                <w:color w:val="000000"/>
              </w:rPr>
              <w:t>1. Excess match from prior Federal fiscal year</w:t>
            </w:r>
          </w:p>
        </w:tc>
        <w:tc>
          <w:tcPr>
            <w:tcW w:w="0" w:type="auto"/>
            <w:vAlign w:val="bottom"/>
          </w:tcPr>
          <w:p w:rsidR="001711ED" w:rsidRDefault="00FF78B4">
            <w:pPr>
              <w:spacing w:beforeAutospacing="1" w:afterAutospacing="1"/>
              <w:jc w:val="right"/>
            </w:pPr>
            <w:r>
              <w:rPr>
                <w:color w:val="000000"/>
              </w:rPr>
              <w:t>5,146,476</w:t>
            </w:r>
          </w:p>
        </w:tc>
      </w:tr>
      <w:tr w:rsidR="001711ED">
        <w:trPr>
          <w:cantSplit/>
        </w:trPr>
        <w:tc>
          <w:tcPr>
            <w:tcW w:w="0" w:type="auto"/>
            <w:vAlign w:val="bottom"/>
          </w:tcPr>
          <w:p w:rsidR="001711ED" w:rsidRDefault="00FF78B4">
            <w:pPr>
              <w:spacing w:beforeAutospacing="1" w:afterAutospacing="1"/>
            </w:pPr>
            <w:r>
              <w:rPr>
                <w:color w:val="000000"/>
              </w:rPr>
              <w:t>2. Match contributed during current Federal fiscal year</w:t>
            </w:r>
          </w:p>
        </w:tc>
        <w:tc>
          <w:tcPr>
            <w:tcW w:w="0" w:type="auto"/>
            <w:vAlign w:val="bottom"/>
          </w:tcPr>
          <w:p w:rsidR="001711ED" w:rsidRDefault="00FF78B4">
            <w:pPr>
              <w:spacing w:beforeAutospacing="1" w:afterAutospacing="1"/>
              <w:jc w:val="right"/>
            </w:pPr>
            <w:r>
              <w:rPr>
                <w:color w:val="000000"/>
              </w:rPr>
              <w:t>37,500</w:t>
            </w:r>
          </w:p>
        </w:tc>
      </w:tr>
      <w:tr w:rsidR="001711ED">
        <w:trPr>
          <w:cantSplit/>
        </w:trPr>
        <w:tc>
          <w:tcPr>
            <w:tcW w:w="0" w:type="auto"/>
            <w:vAlign w:val="bottom"/>
          </w:tcPr>
          <w:p w:rsidR="001711ED" w:rsidRDefault="00FF78B4">
            <w:pPr>
              <w:spacing w:beforeAutospacing="1" w:afterAutospacing="1"/>
            </w:pPr>
            <w:r>
              <w:rPr>
                <w:color w:val="000000"/>
              </w:rPr>
              <w:t>3. Total match available for current Federal fiscal year (Line 1 plus Line 2)</w:t>
            </w:r>
          </w:p>
        </w:tc>
        <w:tc>
          <w:tcPr>
            <w:tcW w:w="0" w:type="auto"/>
            <w:vAlign w:val="bottom"/>
          </w:tcPr>
          <w:p w:rsidR="001711ED" w:rsidRDefault="00FF78B4">
            <w:pPr>
              <w:spacing w:beforeAutospacing="1" w:afterAutospacing="1"/>
              <w:jc w:val="right"/>
            </w:pPr>
            <w:r>
              <w:rPr>
                <w:color w:val="000000"/>
              </w:rPr>
              <w:t>5,183,976</w:t>
            </w:r>
          </w:p>
        </w:tc>
      </w:tr>
      <w:tr w:rsidR="001711ED">
        <w:trPr>
          <w:cantSplit/>
        </w:trPr>
        <w:tc>
          <w:tcPr>
            <w:tcW w:w="0" w:type="auto"/>
            <w:vAlign w:val="bottom"/>
          </w:tcPr>
          <w:p w:rsidR="001711ED" w:rsidRDefault="00FF78B4">
            <w:pPr>
              <w:spacing w:beforeAutospacing="1" w:afterAutospacing="1"/>
            </w:pPr>
            <w:r>
              <w:rPr>
                <w:color w:val="000000"/>
              </w:rPr>
              <w:t>4. Match liability for current Federal fiscal year</w:t>
            </w:r>
          </w:p>
        </w:tc>
        <w:tc>
          <w:tcPr>
            <w:tcW w:w="0" w:type="auto"/>
            <w:vAlign w:val="bottom"/>
          </w:tcPr>
          <w:p w:rsidR="001711ED" w:rsidRDefault="00FF78B4">
            <w:pPr>
              <w:spacing w:beforeAutospacing="1" w:afterAutospacing="1"/>
              <w:jc w:val="right"/>
            </w:pPr>
            <w:r>
              <w:rPr>
                <w:color w:val="000000"/>
              </w:rPr>
              <w:t>0</w:t>
            </w:r>
          </w:p>
        </w:tc>
      </w:tr>
      <w:tr w:rsidR="001711ED">
        <w:trPr>
          <w:cantSplit/>
        </w:trPr>
        <w:tc>
          <w:tcPr>
            <w:tcW w:w="0" w:type="auto"/>
            <w:vAlign w:val="bottom"/>
          </w:tcPr>
          <w:p w:rsidR="001711ED" w:rsidRDefault="00FF78B4">
            <w:pPr>
              <w:spacing w:beforeAutospacing="1" w:afterAutospacing="1"/>
            </w:pPr>
            <w:r>
              <w:rPr>
                <w:color w:val="000000"/>
              </w:rPr>
              <w:t>5. Excess match carried over to next Federal fiscal year (Line 3 minus Line 4)</w:t>
            </w:r>
          </w:p>
        </w:tc>
        <w:tc>
          <w:tcPr>
            <w:tcW w:w="0" w:type="auto"/>
            <w:vAlign w:val="bottom"/>
          </w:tcPr>
          <w:p w:rsidR="001711ED" w:rsidRDefault="00FF78B4">
            <w:pPr>
              <w:spacing w:beforeAutospacing="1" w:afterAutospacing="1"/>
              <w:jc w:val="right"/>
            </w:pPr>
            <w:r>
              <w:rPr>
                <w:color w:val="000000"/>
              </w:rPr>
              <w:t>5,183,976</w:t>
            </w:r>
          </w:p>
        </w:tc>
      </w:tr>
    </w:tbl>
    <w:p w:rsidR="001711ED" w:rsidRDefault="00FF78B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51C28">
        <w:rPr>
          <w:rFonts w:asciiTheme="minorHAnsi" w:hAnsiTheme="minorHAnsi"/>
          <w:noProof/>
        </w:rPr>
        <w:t>5</w:t>
      </w:r>
      <w:r>
        <w:rPr>
          <w:rFonts w:asciiTheme="minorHAnsi" w:hAnsiTheme="minorHAnsi"/>
        </w:rPr>
        <w:fldChar w:fldCharType="end"/>
      </w:r>
      <w:r>
        <w:rPr>
          <w:rFonts w:asciiTheme="minorHAnsi" w:hAnsiTheme="minorHAnsi"/>
        </w:rPr>
        <w:t xml:space="preserve"> – Fiscal Year Summary - HOME Match Report</w:t>
      </w:r>
    </w:p>
    <w:p w:rsidR="001711ED" w:rsidRDefault="001711ED">
      <w:pPr>
        <w:widowControl w:val="0"/>
        <w:spacing w:line="204" w:lineRule="auto"/>
        <w:rPr>
          <w:rFonts w:cs="Arial"/>
        </w:rPr>
      </w:pPr>
    </w:p>
    <w:p w:rsidR="001711ED" w:rsidRDefault="001711ED">
      <w:pPr>
        <w:widowControl w:val="0"/>
        <w:spacing w:line="204" w:lineRule="auto"/>
        <w:rPr>
          <w:rFonts w:cs="Arial"/>
        </w:rPr>
      </w:pPr>
    </w:p>
    <w:p w:rsidR="001711ED" w:rsidRDefault="001711ED">
      <w:pPr>
        <w:keepNext/>
        <w:spacing w:after="0" w:line="240" w:lineRule="auto"/>
        <w:rPr>
          <w:b/>
          <w:sz w:val="24"/>
          <w:szCs w:val="24"/>
        </w:rPr>
        <w:sectPr w:rsidR="001711ED">
          <w:pgSz w:w="12240" w:h="15840"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39"/>
        <w:gridCol w:w="1439"/>
        <w:gridCol w:w="1439"/>
        <w:gridCol w:w="1438"/>
        <w:gridCol w:w="1439"/>
        <w:gridCol w:w="1439"/>
        <w:gridCol w:w="1439"/>
        <w:gridCol w:w="1439"/>
        <w:gridCol w:w="1439"/>
      </w:tblGrid>
      <w:tr w:rsidR="001711ED">
        <w:trPr>
          <w:cantSplit/>
          <w:tblHeader/>
        </w:trPr>
        <w:tc>
          <w:tcPr>
            <w:tcW w:w="13176" w:type="dxa"/>
            <w:gridSpan w:val="9"/>
          </w:tcPr>
          <w:p w:rsidR="001711ED" w:rsidRDefault="00FF78B4">
            <w:pPr>
              <w:keepNext/>
              <w:widowControl w:val="0"/>
              <w:tabs>
                <w:tab w:val="left" w:pos="405"/>
                <w:tab w:val="center" w:pos="6480"/>
              </w:tabs>
              <w:spacing w:after="0" w:line="240" w:lineRule="auto"/>
              <w:rPr>
                <w:b/>
              </w:rPr>
            </w:pPr>
            <w:r>
              <w:rPr>
                <w:b/>
              </w:rPr>
              <w:lastRenderedPageBreak/>
              <w:tab/>
            </w:r>
            <w:r>
              <w:rPr>
                <w:b/>
              </w:rPr>
              <w:tab/>
              <w:t>Match Contribution for the Federal Fiscal Year</w:t>
            </w:r>
          </w:p>
        </w:tc>
      </w:tr>
      <w:tr w:rsidR="001711ED">
        <w:trPr>
          <w:cantSplit/>
          <w:tblHeader/>
        </w:trPr>
        <w:tc>
          <w:tcPr>
            <w:tcW w:w="1464" w:type="dxa"/>
          </w:tcPr>
          <w:p w:rsidR="001711ED" w:rsidRDefault="00FF78B4">
            <w:pPr>
              <w:keepNext/>
              <w:widowControl w:val="0"/>
              <w:spacing w:after="0" w:line="240" w:lineRule="auto"/>
              <w:jc w:val="center"/>
              <w:rPr>
                <w:b/>
                <w:sz w:val="20"/>
                <w:szCs w:val="20"/>
              </w:rPr>
            </w:pPr>
            <w:r>
              <w:rPr>
                <w:b/>
                <w:sz w:val="20"/>
                <w:szCs w:val="20"/>
              </w:rPr>
              <w:t>Project No. or Other ID</w:t>
            </w:r>
          </w:p>
        </w:tc>
        <w:tc>
          <w:tcPr>
            <w:tcW w:w="1464" w:type="dxa"/>
          </w:tcPr>
          <w:p w:rsidR="001711ED" w:rsidRDefault="00FF78B4">
            <w:pPr>
              <w:keepNext/>
              <w:widowControl w:val="0"/>
              <w:spacing w:after="0" w:line="240" w:lineRule="auto"/>
              <w:jc w:val="center"/>
              <w:rPr>
                <w:b/>
                <w:sz w:val="20"/>
                <w:szCs w:val="20"/>
              </w:rPr>
            </w:pPr>
            <w:r>
              <w:rPr>
                <w:b/>
                <w:sz w:val="20"/>
                <w:szCs w:val="20"/>
              </w:rPr>
              <w:t>Date of Contribution</w:t>
            </w:r>
          </w:p>
        </w:tc>
        <w:tc>
          <w:tcPr>
            <w:tcW w:w="1464" w:type="dxa"/>
          </w:tcPr>
          <w:p w:rsidR="001711ED" w:rsidRDefault="00FF78B4">
            <w:pPr>
              <w:keepNext/>
              <w:widowControl w:val="0"/>
              <w:spacing w:after="0" w:line="240" w:lineRule="auto"/>
              <w:jc w:val="center"/>
              <w:rPr>
                <w:b/>
                <w:sz w:val="20"/>
                <w:szCs w:val="20"/>
              </w:rPr>
            </w:pPr>
            <w:r>
              <w:rPr>
                <w:b/>
                <w:sz w:val="20"/>
                <w:szCs w:val="20"/>
              </w:rPr>
              <w:t>Cash</w:t>
            </w:r>
          </w:p>
          <w:p w:rsidR="001711ED" w:rsidRDefault="00FF78B4">
            <w:pPr>
              <w:keepNext/>
              <w:widowControl w:val="0"/>
              <w:spacing w:after="0" w:line="240" w:lineRule="auto"/>
              <w:jc w:val="center"/>
              <w:rPr>
                <w:b/>
                <w:sz w:val="20"/>
                <w:szCs w:val="20"/>
              </w:rPr>
            </w:pPr>
            <w:r>
              <w:rPr>
                <w:b/>
                <w:sz w:val="20"/>
                <w:szCs w:val="20"/>
              </w:rPr>
              <w:t>(non-Federal sources)</w:t>
            </w:r>
          </w:p>
        </w:tc>
        <w:tc>
          <w:tcPr>
            <w:tcW w:w="1464" w:type="dxa"/>
          </w:tcPr>
          <w:p w:rsidR="001711ED" w:rsidRDefault="00FF78B4">
            <w:pPr>
              <w:keepNext/>
              <w:widowControl w:val="0"/>
              <w:spacing w:after="0" w:line="240" w:lineRule="auto"/>
              <w:jc w:val="center"/>
              <w:rPr>
                <w:b/>
                <w:sz w:val="20"/>
                <w:szCs w:val="20"/>
              </w:rPr>
            </w:pPr>
            <w:r>
              <w:rPr>
                <w:b/>
                <w:sz w:val="20"/>
                <w:szCs w:val="20"/>
              </w:rPr>
              <w:t>Foregone Taxes, Fees, Charges</w:t>
            </w:r>
          </w:p>
        </w:tc>
        <w:tc>
          <w:tcPr>
            <w:tcW w:w="1464" w:type="dxa"/>
          </w:tcPr>
          <w:p w:rsidR="001711ED" w:rsidRDefault="00FF78B4">
            <w:pPr>
              <w:keepNext/>
              <w:widowControl w:val="0"/>
              <w:spacing w:after="0" w:line="240" w:lineRule="auto"/>
              <w:jc w:val="center"/>
              <w:rPr>
                <w:b/>
                <w:sz w:val="20"/>
                <w:szCs w:val="20"/>
              </w:rPr>
            </w:pPr>
            <w:r>
              <w:rPr>
                <w:b/>
                <w:sz w:val="20"/>
                <w:szCs w:val="20"/>
              </w:rPr>
              <w:t>Appraised Land/Real Property</w:t>
            </w:r>
          </w:p>
        </w:tc>
        <w:tc>
          <w:tcPr>
            <w:tcW w:w="1464" w:type="dxa"/>
          </w:tcPr>
          <w:p w:rsidR="001711ED" w:rsidRDefault="00FF78B4">
            <w:pPr>
              <w:keepNext/>
              <w:widowControl w:val="0"/>
              <w:spacing w:after="0" w:line="240" w:lineRule="auto"/>
              <w:jc w:val="center"/>
              <w:rPr>
                <w:b/>
                <w:sz w:val="20"/>
                <w:szCs w:val="20"/>
              </w:rPr>
            </w:pPr>
            <w:r>
              <w:rPr>
                <w:b/>
                <w:sz w:val="20"/>
                <w:szCs w:val="20"/>
              </w:rPr>
              <w:t>Required Infrastructure</w:t>
            </w:r>
          </w:p>
        </w:tc>
        <w:tc>
          <w:tcPr>
            <w:tcW w:w="1464" w:type="dxa"/>
          </w:tcPr>
          <w:p w:rsidR="001711ED" w:rsidRDefault="00FF78B4">
            <w:pPr>
              <w:keepNext/>
              <w:widowControl w:val="0"/>
              <w:spacing w:after="0" w:line="240" w:lineRule="auto"/>
              <w:jc w:val="center"/>
              <w:rPr>
                <w:b/>
                <w:sz w:val="20"/>
                <w:szCs w:val="20"/>
              </w:rPr>
            </w:pPr>
            <w:r>
              <w:rPr>
                <w:b/>
                <w:sz w:val="20"/>
                <w:szCs w:val="20"/>
              </w:rPr>
              <w:t>Site Preparation, Construction Materials, Donated labor</w:t>
            </w:r>
          </w:p>
        </w:tc>
        <w:tc>
          <w:tcPr>
            <w:tcW w:w="1464" w:type="dxa"/>
          </w:tcPr>
          <w:p w:rsidR="001711ED" w:rsidRDefault="00FF78B4">
            <w:pPr>
              <w:keepNext/>
              <w:widowControl w:val="0"/>
              <w:spacing w:after="0" w:line="240" w:lineRule="auto"/>
              <w:jc w:val="center"/>
              <w:rPr>
                <w:b/>
                <w:sz w:val="20"/>
                <w:szCs w:val="20"/>
              </w:rPr>
            </w:pPr>
            <w:r>
              <w:rPr>
                <w:b/>
                <w:sz w:val="20"/>
                <w:szCs w:val="20"/>
              </w:rPr>
              <w:t>Bond Financing</w:t>
            </w:r>
          </w:p>
        </w:tc>
        <w:tc>
          <w:tcPr>
            <w:tcW w:w="1464" w:type="dxa"/>
          </w:tcPr>
          <w:p w:rsidR="001711ED" w:rsidRDefault="00FF78B4">
            <w:pPr>
              <w:keepNext/>
              <w:widowControl w:val="0"/>
              <w:spacing w:after="0" w:line="240" w:lineRule="auto"/>
              <w:jc w:val="center"/>
              <w:rPr>
                <w:b/>
                <w:sz w:val="20"/>
                <w:szCs w:val="20"/>
              </w:rPr>
            </w:pPr>
            <w:r>
              <w:rPr>
                <w:b/>
                <w:sz w:val="20"/>
                <w:szCs w:val="20"/>
              </w:rPr>
              <w:t>Total Match</w:t>
            </w:r>
          </w:p>
        </w:tc>
      </w:tr>
      <w:tr w:rsidR="001711ED">
        <w:trPr>
          <w:cantSplit/>
        </w:trPr>
        <w:tc>
          <w:tcPr>
            <w:tcW w:w="1465" w:type="dxa"/>
            <w:vAlign w:val="bottom"/>
          </w:tcPr>
          <w:p w:rsidR="001711ED" w:rsidRDefault="00FF78B4">
            <w:pPr>
              <w:spacing w:beforeAutospacing="1" w:afterAutospacing="1"/>
              <w:jc w:val="right"/>
            </w:pPr>
            <w:r>
              <w:rPr>
                <w:color w:val="000000"/>
              </w:rPr>
              <w:t>HG2818</w:t>
            </w:r>
          </w:p>
        </w:tc>
        <w:tc>
          <w:tcPr>
            <w:tcW w:w="1465" w:type="dxa"/>
            <w:vAlign w:val="bottom"/>
          </w:tcPr>
          <w:p w:rsidR="001711ED" w:rsidRDefault="00FF78B4">
            <w:pPr>
              <w:spacing w:beforeAutospacing="1" w:afterAutospacing="1"/>
              <w:jc w:val="right"/>
            </w:pPr>
            <w:r>
              <w:rPr>
                <w:color w:val="000000"/>
              </w:rPr>
              <w:t>03/03/2023</w:t>
            </w:r>
          </w:p>
        </w:tc>
        <w:tc>
          <w:tcPr>
            <w:tcW w:w="1465" w:type="dxa"/>
            <w:vAlign w:val="bottom"/>
          </w:tcPr>
          <w:p w:rsidR="001711ED" w:rsidRDefault="00FF78B4">
            <w:pPr>
              <w:spacing w:beforeAutospacing="1" w:afterAutospacing="1"/>
              <w:jc w:val="right"/>
            </w:pPr>
            <w:r>
              <w:rPr>
                <w:color w:val="000000"/>
              </w:rPr>
              <w:t>0</w:t>
            </w:r>
          </w:p>
        </w:tc>
        <w:tc>
          <w:tcPr>
            <w:tcW w:w="1465" w:type="dxa"/>
            <w:vAlign w:val="bottom"/>
          </w:tcPr>
          <w:p w:rsidR="001711ED" w:rsidRDefault="00FF78B4">
            <w:pPr>
              <w:spacing w:beforeAutospacing="1" w:afterAutospacing="1"/>
              <w:jc w:val="right"/>
            </w:pPr>
            <w:r>
              <w:rPr>
                <w:color w:val="000000"/>
              </w:rPr>
              <w:t>37,500</w:t>
            </w:r>
          </w:p>
        </w:tc>
        <w:tc>
          <w:tcPr>
            <w:tcW w:w="1466" w:type="dxa"/>
            <w:vAlign w:val="bottom"/>
          </w:tcPr>
          <w:p w:rsidR="001711ED" w:rsidRDefault="00FF78B4">
            <w:pPr>
              <w:spacing w:beforeAutospacing="1" w:afterAutospacing="1"/>
              <w:jc w:val="right"/>
            </w:pPr>
            <w:r>
              <w:rPr>
                <w:color w:val="000000"/>
              </w:rPr>
              <w:t>0</w:t>
            </w:r>
          </w:p>
        </w:tc>
        <w:tc>
          <w:tcPr>
            <w:tcW w:w="1466" w:type="dxa"/>
            <w:vAlign w:val="bottom"/>
          </w:tcPr>
          <w:p w:rsidR="001711ED" w:rsidRDefault="00FF78B4">
            <w:pPr>
              <w:spacing w:beforeAutospacing="1" w:afterAutospacing="1"/>
              <w:jc w:val="right"/>
            </w:pPr>
            <w:r>
              <w:rPr>
                <w:color w:val="000000"/>
              </w:rPr>
              <w:t>0</w:t>
            </w:r>
          </w:p>
        </w:tc>
        <w:tc>
          <w:tcPr>
            <w:tcW w:w="1466" w:type="dxa"/>
            <w:vAlign w:val="bottom"/>
          </w:tcPr>
          <w:p w:rsidR="001711ED" w:rsidRDefault="00FF78B4">
            <w:pPr>
              <w:spacing w:beforeAutospacing="1" w:afterAutospacing="1"/>
              <w:jc w:val="right"/>
            </w:pPr>
            <w:r>
              <w:rPr>
                <w:color w:val="000000"/>
              </w:rPr>
              <w:t>0</w:t>
            </w:r>
          </w:p>
        </w:tc>
        <w:tc>
          <w:tcPr>
            <w:tcW w:w="1466" w:type="dxa"/>
            <w:vAlign w:val="bottom"/>
          </w:tcPr>
          <w:p w:rsidR="001711ED" w:rsidRDefault="00FF78B4">
            <w:pPr>
              <w:spacing w:beforeAutospacing="1" w:afterAutospacing="1"/>
              <w:jc w:val="right"/>
            </w:pPr>
            <w:r>
              <w:rPr>
                <w:color w:val="000000"/>
              </w:rPr>
              <w:t>0</w:t>
            </w:r>
          </w:p>
        </w:tc>
        <w:tc>
          <w:tcPr>
            <w:tcW w:w="1466" w:type="dxa"/>
            <w:vAlign w:val="bottom"/>
          </w:tcPr>
          <w:p w:rsidR="001711ED" w:rsidRDefault="00FF78B4">
            <w:pPr>
              <w:spacing w:beforeAutospacing="1" w:afterAutospacing="1"/>
              <w:jc w:val="right"/>
            </w:pPr>
            <w:r>
              <w:rPr>
                <w:color w:val="000000"/>
              </w:rPr>
              <w:t>37,500</w:t>
            </w:r>
          </w:p>
        </w:tc>
      </w:tr>
    </w:tbl>
    <w:p w:rsidR="001711ED" w:rsidRDefault="00FF78B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51C28">
        <w:rPr>
          <w:rFonts w:asciiTheme="minorHAnsi" w:hAnsiTheme="minorHAnsi"/>
          <w:noProof/>
        </w:rPr>
        <w:t>6</w:t>
      </w:r>
      <w:r>
        <w:rPr>
          <w:rFonts w:asciiTheme="minorHAnsi" w:hAnsiTheme="minorHAnsi"/>
        </w:rPr>
        <w:fldChar w:fldCharType="end"/>
      </w:r>
      <w:r>
        <w:rPr>
          <w:rFonts w:asciiTheme="minorHAnsi" w:hAnsiTheme="minorHAnsi"/>
        </w:rPr>
        <w:t xml:space="preserve"> – Match Contribution for the Federal Fiscal Year</w:t>
      </w:r>
    </w:p>
    <w:p w:rsidR="001711ED" w:rsidRDefault="001711ED"/>
    <w:p w:rsidR="001711ED" w:rsidRDefault="00FF78B4">
      <w:pPr>
        <w:widowControl w:val="0"/>
        <w:spacing w:line="204" w:lineRule="auto"/>
        <w:rPr>
          <w:b/>
          <w:sz w:val="24"/>
          <w:szCs w:val="24"/>
        </w:rPr>
      </w:pPr>
      <w:r>
        <w:rPr>
          <w:b/>
          <w:sz w:val="24"/>
          <w:szCs w:val="24"/>
        </w:rPr>
        <w:t>HOME MBE/WBE report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89"/>
        <w:gridCol w:w="2590"/>
        <w:gridCol w:w="2590"/>
        <w:gridCol w:w="2590"/>
        <w:gridCol w:w="2591"/>
      </w:tblGrid>
      <w:tr w:rsidR="001711ED">
        <w:trPr>
          <w:cantSplit/>
          <w:tblHeader/>
        </w:trPr>
        <w:tc>
          <w:tcPr>
            <w:tcW w:w="13176" w:type="dxa"/>
            <w:gridSpan w:val="5"/>
          </w:tcPr>
          <w:p w:rsidR="001711ED" w:rsidRDefault="00FF78B4">
            <w:pPr>
              <w:keepNext/>
              <w:widowControl w:val="0"/>
              <w:spacing w:after="0" w:line="240" w:lineRule="auto"/>
              <w:rPr>
                <w:b/>
              </w:rPr>
            </w:pPr>
            <w:r>
              <w:rPr>
                <w:b/>
              </w:rPr>
              <w:t xml:space="preserve">Program Income </w:t>
            </w:r>
            <w:r>
              <w:t>– Enter the program amounts for the reporting period</w:t>
            </w:r>
          </w:p>
        </w:tc>
      </w:tr>
      <w:tr w:rsidR="001711ED">
        <w:trPr>
          <w:cantSplit/>
          <w:tblHeader/>
        </w:trPr>
        <w:tc>
          <w:tcPr>
            <w:tcW w:w="2635" w:type="dxa"/>
          </w:tcPr>
          <w:p w:rsidR="001711ED" w:rsidRDefault="00FF78B4">
            <w:pPr>
              <w:keepNext/>
              <w:spacing w:after="0" w:line="240" w:lineRule="auto"/>
              <w:jc w:val="center"/>
              <w:rPr>
                <w:b/>
              </w:rPr>
            </w:pPr>
            <w:r>
              <w:rPr>
                <w:b/>
              </w:rPr>
              <w:t>Balance on hand at begin-</w:t>
            </w:r>
            <w:proofErr w:type="spellStart"/>
            <w:r>
              <w:rPr>
                <w:b/>
              </w:rPr>
              <w:t>ning</w:t>
            </w:r>
            <w:proofErr w:type="spellEnd"/>
            <w:r>
              <w:rPr>
                <w:b/>
              </w:rPr>
              <w:t xml:space="preserve"> of reporting period</w:t>
            </w:r>
          </w:p>
          <w:p w:rsidR="001711ED" w:rsidRDefault="00FF78B4">
            <w:pPr>
              <w:keepNext/>
              <w:spacing w:after="0" w:line="240" w:lineRule="auto"/>
              <w:jc w:val="center"/>
              <w:rPr>
                <w:b/>
              </w:rPr>
            </w:pPr>
            <w:r>
              <w:rPr>
                <w:b/>
              </w:rPr>
              <w:t>$</w:t>
            </w:r>
          </w:p>
        </w:tc>
        <w:tc>
          <w:tcPr>
            <w:tcW w:w="2635" w:type="dxa"/>
          </w:tcPr>
          <w:p w:rsidR="001711ED" w:rsidRDefault="00FF78B4">
            <w:pPr>
              <w:keepNext/>
              <w:spacing w:after="0" w:line="240" w:lineRule="auto"/>
              <w:jc w:val="center"/>
              <w:rPr>
                <w:b/>
              </w:rPr>
            </w:pPr>
            <w:r>
              <w:rPr>
                <w:b/>
              </w:rPr>
              <w:t>Amount received during reporting period</w:t>
            </w:r>
          </w:p>
          <w:p w:rsidR="001711ED" w:rsidRDefault="00FF78B4">
            <w:pPr>
              <w:keepNext/>
              <w:spacing w:after="0" w:line="240" w:lineRule="auto"/>
              <w:jc w:val="center"/>
              <w:rPr>
                <w:b/>
              </w:rPr>
            </w:pPr>
            <w:r>
              <w:rPr>
                <w:b/>
              </w:rPr>
              <w:t>$</w:t>
            </w:r>
          </w:p>
        </w:tc>
        <w:tc>
          <w:tcPr>
            <w:tcW w:w="2635" w:type="dxa"/>
          </w:tcPr>
          <w:p w:rsidR="001711ED" w:rsidRDefault="00FF78B4">
            <w:pPr>
              <w:keepNext/>
              <w:spacing w:after="0" w:line="240" w:lineRule="auto"/>
              <w:jc w:val="center"/>
              <w:rPr>
                <w:b/>
              </w:rPr>
            </w:pPr>
            <w:r>
              <w:rPr>
                <w:b/>
              </w:rPr>
              <w:t>Total amount expended during reporting period</w:t>
            </w:r>
          </w:p>
          <w:p w:rsidR="001711ED" w:rsidRDefault="00FF78B4">
            <w:pPr>
              <w:keepNext/>
              <w:spacing w:after="0" w:line="240" w:lineRule="auto"/>
              <w:jc w:val="center"/>
              <w:rPr>
                <w:b/>
              </w:rPr>
            </w:pPr>
            <w:r>
              <w:rPr>
                <w:b/>
              </w:rPr>
              <w:t>$</w:t>
            </w:r>
          </w:p>
        </w:tc>
        <w:tc>
          <w:tcPr>
            <w:tcW w:w="2635" w:type="dxa"/>
          </w:tcPr>
          <w:p w:rsidR="001711ED" w:rsidRDefault="00FF78B4">
            <w:pPr>
              <w:keepNext/>
              <w:spacing w:after="0" w:line="240" w:lineRule="auto"/>
              <w:jc w:val="center"/>
              <w:rPr>
                <w:b/>
              </w:rPr>
            </w:pPr>
            <w:r>
              <w:rPr>
                <w:b/>
              </w:rPr>
              <w:t>Amount expended for TBRA</w:t>
            </w:r>
          </w:p>
          <w:p w:rsidR="001711ED" w:rsidRDefault="00FF78B4">
            <w:pPr>
              <w:keepNext/>
              <w:spacing w:after="0" w:line="240" w:lineRule="auto"/>
              <w:jc w:val="center"/>
              <w:rPr>
                <w:b/>
              </w:rPr>
            </w:pPr>
            <w:r>
              <w:rPr>
                <w:b/>
              </w:rPr>
              <w:t>$</w:t>
            </w:r>
          </w:p>
        </w:tc>
        <w:tc>
          <w:tcPr>
            <w:tcW w:w="2636" w:type="dxa"/>
          </w:tcPr>
          <w:p w:rsidR="001711ED" w:rsidRDefault="00FF78B4">
            <w:pPr>
              <w:keepNext/>
              <w:spacing w:after="0" w:line="240" w:lineRule="auto"/>
              <w:jc w:val="center"/>
              <w:rPr>
                <w:b/>
              </w:rPr>
            </w:pPr>
            <w:r>
              <w:rPr>
                <w:b/>
              </w:rPr>
              <w:t>Balance on hand at end of reporting period</w:t>
            </w:r>
          </w:p>
          <w:p w:rsidR="001711ED" w:rsidRDefault="00FF78B4">
            <w:pPr>
              <w:keepNext/>
              <w:spacing w:after="0" w:line="240" w:lineRule="auto"/>
              <w:jc w:val="center"/>
              <w:rPr>
                <w:b/>
              </w:rPr>
            </w:pPr>
            <w:r>
              <w:rPr>
                <w:b/>
              </w:rPr>
              <w:t>$</w:t>
            </w:r>
          </w:p>
        </w:tc>
      </w:tr>
      <w:tr w:rsidR="001711ED">
        <w:trPr>
          <w:cantSplit/>
        </w:trPr>
        <w:tc>
          <w:tcPr>
            <w:tcW w:w="2637" w:type="dxa"/>
            <w:vAlign w:val="bottom"/>
          </w:tcPr>
          <w:p w:rsidR="001711ED" w:rsidRDefault="00FF78B4">
            <w:pPr>
              <w:spacing w:beforeAutospacing="1" w:afterAutospacing="1"/>
              <w:jc w:val="right"/>
            </w:pPr>
            <w:r>
              <w:rPr>
                <w:color w:val="000000"/>
              </w:rPr>
              <w:t>8,897</w:t>
            </w:r>
          </w:p>
        </w:tc>
        <w:tc>
          <w:tcPr>
            <w:tcW w:w="2638" w:type="dxa"/>
            <w:vAlign w:val="bottom"/>
          </w:tcPr>
          <w:p w:rsidR="001711ED" w:rsidRDefault="00FF78B4">
            <w:pPr>
              <w:spacing w:beforeAutospacing="1" w:afterAutospacing="1"/>
              <w:jc w:val="right"/>
            </w:pPr>
            <w:r>
              <w:rPr>
                <w:color w:val="000000"/>
              </w:rPr>
              <w:t>35,226</w:t>
            </w:r>
          </w:p>
        </w:tc>
        <w:tc>
          <w:tcPr>
            <w:tcW w:w="2638" w:type="dxa"/>
            <w:vAlign w:val="bottom"/>
          </w:tcPr>
          <w:p w:rsidR="001711ED" w:rsidRDefault="00FF78B4">
            <w:pPr>
              <w:spacing w:beforeAutospacing="1" w:afterAutospacing="1"/>
              <w:jc w:val="right"/>
            </w:pPr>
            <w:r>
              <w:rPr>
                <w:color w:val="000000"/>
              </w:rPr>
              <w:t>47,936</w:t>
            </w:r>
          </w:p>
        </w:tc>
        <w:tc>
          <w:tcPr>
            <w:tcW w:w="2638" w:type="dxa"/>
            <w:vAlign w:val="bottom"/>
          </w:tcPr>
          <w:p w:rsidR="001711ED" w:rsidRDefault="00FF78B4">
            <w:pPr>
              <w:spacing w:beforeAutospacing="1" w:afterAutospacing="1"/>
              <w:jc w:val="right"/>
            </w:pPr>
            <w:r>
              <w:rPr>
                <w:color w:val="000000"/>
              </w:rPr>
              <w:t>35,196</w:t>
            </w:r>
          </w:p>
        </w:tc>
        <w:tc>
          <w:tcPr>
            <w:tcW w:w="2639" w:type="dxa"/>
            <w:vAlign w:val="bottom"/>
          </w:tcPr>
          <w:p w:rsidR="001711ED" w:rsidRDefault="00FF78B4">
            <w:pPr>
              <w:spacing w:beforeAutospacing="1" w:afterAutospacing="1"/>
              <w:jc w:val="right"/>
            </w:pPr>
            <w:r>
              <w:rPr>
                <w:color w:val="000000"/>
              </w:rPr>
              <w:t>0</w:t>
            </w:r>
          </w:p>
        </w:tc>
      </w:tr>
    </w:tbl>
    <w:p w:rsidR="001711ED" w:rsidRDefault="00FF78B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51C28">
        <w:rPr>
          <w:rFonts w:asciiTheme="minorHAnsi" w:hAnsiTheme="minorHAnsi"/>
          <w:noProof/>
        </w:rPr>
        <w:t>7</w:t>
      </w:r>
      <w:r>
        <w:rPr>
          <w:rFonts w:asciiTheme="minorHAnsi" w:hAnsiTheme="minorHAnsi"/>
        </w:rPr>
        <w:fldChar w:fldCharType="end"/>
      </w:r>
      <w:r>
        <w:rPr>
          <w:rFonts w:asciiTheme="minorHAnsi" w:hAnsiTheme="minorHAnsi"/>
        </w:rPr>
        <w:t xml:space="preserve"> – Program Income</w:t>
      </w:r>
    </w:p>
    <w:p w:rsidR="001711ED" w:rsidRDefault="001711ED">
      <w:pPr>
        <w:widowControl w:val="0"/>
        <w:spacing w:after="0" w:line="240" w:lineRule="auto"/>
        <w:rPr>
          <w:b/>
          <w:sz w:val="20"/>
          <w:szCs w:val="20"/>
        </w:rPr>
      </w:pPr>
    </w:p>
    <w:p w:rsidR="001711ED" w:rsidRDefault="001711ED">
      <w:pPr>
        <w:widowControl w:val="0"/>
        <w:spacing w:after="0" w:line="240" w:lineRule="auto"/>
        <w:jc w:val="center"/>
        <w:rPr>
          <w:b/>
          <w:sz w:val="20"/>
          <w:szCs w:val="20"/>
        </w:rPr>
        <w:sectPr w:rsidR="001711ED">
          <w:pgSz w:w="15840" w:h="12240" w:orient="landscape"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711ED">
        <w:tc>
          <w:tcPr>
            <w:tcW w:w="9576" w:type="dxa"/>
          </w:tcPr>
          <w:p w:rsidR="001711ED" w:rsidRDefault="00FF78B4">
            <w:pPr>
              <w:keepNext/>
              <w:widowControl w:val="0"/>
              <w:spacing w:after="0" w:line="240" w:lineRule="auto"/>
              <w:rPr>
                <w:b/>
              </w:rPr>
            </w:pPr>
            <w:r>
              <w:rPr>
                <w:b/>
              </w:rPr>
              <w:lastRenderedPageBreak/>
              <w:t xml:space="preserve">Minority Business Enterprises and Women Business Enterprises – </w:t>
            </w:r>
            <w:r>
              <w:t>Indicate the number and dollar value of contracts for HOME projects completed during the reporting period</w:t>
            </w:r>
          </w:p>
        </w:tc>
      </w:tr>
    </w:tbl>
    <w:p w:rsidR="001711ED" w:rsidRDefault="001711ED">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1711ED">
        <w:trPr>
          <w:cantSplit/>
        </w:trPr>
        <w:tc>
          <w:tcPr>
            <w:tcW w:w="1368" w:type="dxa"/>
            <w:vMerge w:val="restart"/>
          </w:tcPr>
          <w:p w:rsidR="001711ED" w:rsidRDefault="001711ED">
            <w:pPr>
              <w:keepNext/>
              <w:widowControl w:val="0"/>
              <w:spacing w:after="0" w:line="240" w:lineRule="auto"/>
              <w:rPr>
                <w:b/>
              </w:rPr>
            </w:pPr>
          </w:p>
        </w:tc>
        <w:tc>
          <w:tcPr>
            <w:tcW w:w="1368" w:type="dxa"/>
            <w:vMerge w:val="restart"/>
          </w:tcPr>
          <w:p w:rsidR="001711ED" w:rsidRDefault="00FF78B4">
            <w:pPr>
              <w:keepNext/>
              <w:widowControl w:val="0"/>
              <w:spacing w:after="0" w:line="240" w:lineRule="auto"/>
              <w:jc w:val="center"/>
              <w:rPr>
                <w:b/>
              </w:rPr>
            </w:pPr>
            <w:r>
              <w:rPr>
                <w:b/>
              </w:rPr>
              <w:t>Total</w:t>
            </w:r>
          </w:p>
        </w:tc>
        <w:tc>
          <w:tcPr>
            <w:tcW w:w="5472" w:type="dxa"/>
            <w:gridSpan w:val="4"/>
          </w:tcPr>
          <w:p w:rsidR="001711ED" w:rsidRDefault="00FF78B4">
            <w:pPr>
              <w:keepNext/>
              <w:widowControl w:val="0"/>
              <w:spacing w:after="0" w:line="240" w:lineRule="auto"/>
              <w:jc w:val="center"/>
              <w:rPr>
                <w:b/>
              </w:rPr>
            </w:pPr>
            <w:r>
              <w:rPr>
                <w:b/>
              </w:rPr>
              <w:t>Minority Business Enterprises</w:t>
            </w:r>
          </w:p>
        </w:tc>
        <w:tc>
          <w:tcPr>
            <w:tcW w:w="1368" w:type="dxa"/>
            <w:vMerge w:val="restart"/>
          </w:tcPr>
          <w:p w:rsidR="001711ED" w:rsidRDefault="00FF78B4">
            <w:pPr>
              <w:keepNext/>
              <w:widowControl w:val="0"/>
              <w:spacing w:after="0" w:line="240" w:lineRule="auto"/>
              <w:jc w:val="center"/>
              <w:rPr>
                <w:b/>
              </w:rPr>
            </w:pPr>
            <w:r>
              <w:rPr>
                <w:b/>
              </w:rPr>
              <w:t>White Non-Hispanic</w:t>
            </w:r>
          </w:p>
        </w:tc>
      </w:tr>
      <w:tr w:rsidR="001711ED">
        <w:trPr>
          <w:cantSplit/>
        </w:trPr>
        <w:tc>
          <w:tcPr>
            <w:tcW w:w="1368" w:type="dxa"/>
            <w:vMerge/>
          </w:tcPr>
          <w:p w:rsidR="001711ED" w:rsidRDefault="001711ED">
            <w:pPr>
              <w:keepNext/>
              <w:widowControl w:val="0"/>
              <w:spacing w:after="0" w:line="240" w:lineRule="auto"/>
              <w:rPr>
                <w:b/>
              </w:rPr>
            </w:pPr>
          </w:p>
        </w:tc>
        <w:tc>
          <w:tcPr>
            <w:tcW w:w="1368" w:type="dxa"/>
            <w:vMerge/>
          </w:tcPr>
          <w:p w:rsidR="001711ED" w:rsidRDefault="001711ED">
            <w:pPr>
              <w:keepNext/>
              <w:widowControl w:val="0"/>
              <w:spacing w:after="0" w:line="240" w:lineRule="auto"/>
              <w:rPr>
                <w:b/>
              </w:rPr>
            </w:pPr>
          </w:p>
        </w:tc>
        <w:tc>
          <w:tcPr>
            <w:tcW w:w="1368" w:type="dxa"/>
          </w:tcPr>
          <w:p w:rsidR="001711ED" w:rsidRDefault="00FF78B4">
            <w:pPr>
              <w:keepNext/>
              <w:spacing w:after="0" w:line="240" w:lineRule="auto"/>
              <w:jc w:val="center"/>
              <w:rPr>
                <w:b/>
              </w:rPr>
            </w:pPr>
            <w:r>
              <w:rPr>
                <w:b/>
              </w:rPr>
              <w:t>Alaskan Native or American Indian</w:t>
            </w:r>
          </w:p>
        </w:tc>
        <w:tc>
          <w:tcPr>
            <w:tcW w:w="1368" w:type="dxa"/>
          </w:tcPr>
          <w:p w:rsidR="001711ED" w:rsidRDefault="00FF78B4">
            <w:pPr>
              <w:keepNext/>
              <w:widowControl w:val="0"/>
              <w:spacing w:after="0" w:line="240" w:lineRule="auto"/>
              <w:jc w:val="center"/>
              <w:rPr>
                <w:b/>
              </w:rPr>
            </w:pPr>
            <w:r>
              <w:rPr>
                <w:b/>
              </w:rPr>
              <w:t>Asian or Pacific Islander</w:t>
            </w:r>
          </w:p>
        </w:tc>
        <w:tc>
          <w:tcPr>
            <w:tcW w:w="1368" w:type="dxa"/>
          </w:tcPr>
          <w:p w:rsidR="001711ED" w:rsidRDefault="00FF78B4">
            <w:pPr>
              <w:keepNext/>
              <w:widowControl w:val="0"/>
              <w:spacing w:after="0" w:line="240" w:lineRule="auto"/>
              <w:jc w:val="center"/>
              <w:rPr>
                <w:b/>
              </w:rPr>
            </w:pPr>
            <w:r>
              <w:rPr>
                <w:b/>
              </w:rPr>
              <w:t>Black Non-Hispanic</w:t>
            </w:r>
          </w:p>
        </w:tc>
        <w:tc>
          <w:tcPr>
            <w:tcW w:w="1368" w:type="dxa"/>
          </w:tcPr>
          <w:p w:rsidR="001711ED" w:rsidRDefault="00FF78B4">
            <w:pPr>
              <w:keepNext/>
              <w:widowControl w:val="0"/>
              <w:spacing w:after="0" w:line="240" w:lineRule="auto"/>
              <w:jc w:val="center"/>
              <w:rPr>
                <w:b/>
              </w:rPr>
            </w:pPr>
            <w:r>
              <w:rPr>
                <w:b/>
              </w:rPr>
              <w:t>Hispanic</w:t>
            </w:r>
          </w:p>
        </w:tc>
        <w:tc>
          <w:tcPr>
            <w:tcW w:w="1368" w:type="dxa"/>
            <w:vMerge/>
          </w:tcPr>
          <w:p w:rsidR="001711ED" w:rsidRDefault="001711ED">
            <w:pPr>
              <w:keepNext/>
              <w:widowControl w:val="0"/>
              <w:spacing w:after="0" w:line="240" w:lineRule="auto"/>
              <w:jc w:val="center"/>
              <w:rPr>
                <w:b/>
              </w:rPr>
            </w:pPr>
          </w:p>
        </w:tc>
      </w:tr>
    </w:tbl>
    <w:p w:rsidR="001711ED" w:rsidRDefault="001711ED">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1711ED">
        <w:trPr>
          <w:cantSplit/>
        </w:trPr>
        <w:tc>
          <w:tcPr>
            <w:tcW w:w="9576" w:type="dxa"/>
            <w:gridSpan w:val="7"/>
          </w:tcPr>
          <w:p w:rsidR="001711ED" w:rsidRDefault="00FF78B4">
            <w:pPr>
              <w:keepNext/>
              <w:widowControl w:val="0"/>
              <w:spacing w:after="0" w:line="240" w:lineRule="auto"/>
              <w:rPr>
                <w:b/>
              </w:rPr>
            </w:pPr>
            <w:r>
              <w:rPr>
                <w:b/>
              </w:rPr>
              <w:t>Contracts</w:t>
            </w:r>
          </w:p>
        </w:tc>
      </w:tr>
      <w:tr w:rsidR="001711ED">
        <w:trPr>
          <w:cantSplit/>
          <w:hidden/>
        </w:trPr>
        <w:tc>
          <w:tcPr>
            <w:tcW w:w="1368" w:type="dxa"/>
          </w:tcPr>
          <w:p w:rsidR="001711ED" w:rsidRDefault="001711ED">
            <w:pPr>
              <w:keepNext/>
              <w:widowControl w:val="0"/>
              <w:spacing w:after="0" w:line="240" w:lineRule="auto"/>
              <w:rPr>
                <w:b/>
                <w:vanish/>
              </w:rPr>
            </w:pPr>
          </w:p>
        </w:tc>
        <w:tc>
          <w:tcPr>
            <w:tcW w:w="1368" w:type="dxa"/>
          </w:tcPr>
          <w:p w:rsidR="001711ED" w:rsidRDefault="001711ED">
            <w:pPr>
              <w:keepNext/>
              <w:widowControl w:val="0"/>
              <w:spacing w:after="0" w:line="240" w:lineRule="auto"/>
              <w:rPr>
                <w:b/>
                <w:vanish/>
              </w:rPr>
            </w:pPr>
          </w:p>
        </w:tc>
        <w:tc>
          <w:tcPr>
            <w:tcW w:w="1368" w:type="dxa"/>
          </w:tcPr>
          <w:p w:rsidR="001711ED" w:rsidRDefault="001711ED">
            <w:pPr>
              <w:keepNext/>
              <w:widowControl w:val="0"/>
              <w:spacing w:after="0" w:line="240" w:lineRule="auto"/>
              <w:rPr>
                <w:b/>
                <w:vanish/>
              </w:rPr>
            </w:pPr>
          </w:p>
        </w:tc>
        <w:tc>
          <w:tcPr>
            <w:tcW w:w="1368" w:type="dxa"/>
          </w:tcPr>
          <w:p w:rsidR="001711ED" w:rsidRDefault="001711ED">
            <w:pPr>
              <w:keepNext/>
              <w:widowControl w:val="0"/>
              <w:spacing w:after="0" w:line="240" w:lineRule="auto"/>
              <w:rPr>
                <w:b/>
                <w:vanish/>
              </w:rPr>
            </w:pPr>
          </w:p>
        </w:tc>
        <w:tc>
          <w:tcPr>
            <w:tcW w:w="1368" w:type="dxa"/>
          </w:tcPr>
          <w:p w:rsidR="001711ED" w:rsidRDefault="001711ED">
            <w:pPr>
              <w:keepNext/>
              <w:widowControl w:val="0"/>
              <w:spacing w:after="0" w:line="240" w:lineRule="auto"/>
              <w:rPr>
                <w:b/>
                <w:vanish/>
              </w:rPr>
            </w:pPr>
          </w:p>
        </w:tc>
        <w:tc>
          <w:tcPr>
            <w:tcW w:w="1368" w:type="dxa"/>
          </w:tcPr>
          <w:p w:rsidR="001711ED" w:rsidRDefault="001711ED">
            <w:pPr>
              <w:keepNext/>
              <w:widowControl w:val="0"/>
              <w:spacing w:after="0" w:line="240" w:lineRule="auto"/>
              <w:rPr>
                <w:b/>
                <w:vanish/>
              </w:rPr>
            </w:pPr>
          </w:p>
        </w:tc>
        <w:tc>
          <w:tcPr>
            <w:tcW w:w="1368" w:type="dxa"/>
          </w:tcPr>
          <w:p w:rsidR="001711ED" w:rsidRDefault="001711ED">
            <w:pPr>
              <w:keepNext/>
              <w:widowControl w:val="0"/>
              <w:spacing w:after="0" w:line="240" w:lineRule="auto"/>
              <w:rPr>
                <w:b/>
                <w:vanish/>
              </w:rPr>
            </w:pPr>
          </w:p>
        </w:tc>
      </w:tr>
      <w:tr w:rsidR="001711ED">
        <w:trPr>
          <w:cantSplit/>
        </w:trPr>
        <w:tc>
          <w:tcPr>
            <w:tcW w:w="1370" w:type="dxa"/>
          </w:tcPr>
          <w:p w:rsidR="001711ED" w:rsidRDefault="00FF78B4">
            <w:pPr>
              <w:spacing w:beforeAutospacing="1" w:afterAutospacing="1"/>
            </w:pPr>
            <w:r>
              <w:rPr>
                <w:color w:val="000000"/>
              </w:rPr>
              <w:t>Dollar Amount</w:t>
            </w:r>
          </w:p>
        </w:tc>
        <w:tc>
          <w:tcPr>
            <w:tcW w:w="1370" w:type="dxa"/>
            <w:vAlign w:val="bottom"/>
          </w:tcPr>
          <w:p w:rsidR="001711ED" w:rsidRDefault="00FF78B4">
            <w:pPr>
              <w:spacing w:beforeAutospacing="1" w:afterAutospacing="1"/>
              <w:jc w:val="right"/>
            </w:pPr>
            <w:r>
              <w:rPr>
                <w:color w:val="000000"/>
              </w:rPr>
              <w:t>876,456</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576,456</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300,000</w:t>
            </w:r>
          </w:p>
        </w:tc>
      </w:tr>
      <w:tr w:rsidR="001711ED">
        <w:trPr>
          <w:cantSplit/>
        </w:trPr>
        <w:tc>
          <w:tcPr>
            <w:tcW w:w="1370" w:type="dxa"/>
          </w:tcPr>
          <w:p w:rsidR="001711ED" w:rsidRDefault="00FF78B4">
            <w:pPr>
              <w:spacing w:beforeAutospacing="1" w:afterAutospacing="1"/>
            </w:pPr>
            <w:r>
              <w:rPr>
                <w:color w:val="000000"/>
              </w:rPr>
              <w:t>Number</w:t>
            </w:r>
          </w:p>
        </w:tc>
        <w:tc>
          <w:tcPr>
            <w:tcW w:w="1370" w:type="dxa"/>
            <w:vAlign w:val="bottom"/>
          </w:tcPr>
          <w:p w:rsidR="001711ED" w:rsidRDefault="00FF78B4">
            <w:pPr>
              <w:spacing w:beforeAutospacing="1" w:afterAutospacing="1"/>
              <w:jc w:val="right"/>
            </w:pPr>
            <w:r>
              <w:rPr>
                <w:color w:val="000000"/>
              </w:rPr>
              <w:t>2</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1</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1</w:t>
            </w:r>
          </w:p>
        </w:tc>
      </w:tr>
    </w:tbl>
    <w:p w:rsidR="001711ED" w:rsidRDefault="001711ED">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1711ED">
        <w:trPr>
          <w:cantSplit/>
        </w:trPr>
        <w:tc>
          <w:tcPr>
            <w:tcW w:w="9576" w:type="dxa"/>
            <w:gridSpan w:val="7"/>
          </w:tcPr>
          <w:p w:rsidR="001711ED" w:rsidRDefault="00FF78B4">
            <w:pPr>
              <w:keepNext/>
              <w:widowControl w:val="0"/>
              <w:spacing w:after="0" w:line="240" w:lineRule="auto"/>
              <w:rPr>
                <w:b/>
              </w:rPr>
            </w:pPr>
            <w:r>
              <w:rPr>
                <w:b/>
              </w:rPr>
              <w:t>Sub-Contracts</w:t>
            </w:r>
          </w:p>
        </w:tc>
      </w:tr>
      <w:tr w:rsidR="001711ED">
        <w:trPr>
          <w:cantSplit/>
          <w:hidden/>
        </w:trPr>
        <w:tc>
          <w:tcPr>
            <w:tcW w:w="1368" w:type="dxa"/>
          </w:tcPr>
          <w:p w:rsidR="001711ED" w:rsidRDefault="001711ED">
            <w:pPr>
              <w:keepNext/>
              <w:widowControl w:val="0"/>
              <w:spacing w:after="0" w:line="240" w:lineRule="auto"/>
              <w:rPr>
                <w:b/>
                <w:vanish/>
              </w:rPr>
            </w:pPr>
          </w:p>
        </w:tc>
        <w:tc>
          <w:tcPr>
            <w:tcW w:w="1368" w:type="dxa"/>
          </w:tcPr>
          <w:p w:rsidR="001711ED" w:rsidRDefault="001711ED">
            <w:pPr>
              <w:keepNext/>
              <w:widowControl w:val="0"/>
              <w:spacing w:after="0" w:line="240" w:lineRule="auto"/>
              <w:rPr>
                <w:b/>
                <w:vanish/>
              </w:rPr>
            </w:pPr>
          </w:p>
        </w:tc>
        <w:tc>
          <w:tcPr>
            <w:tcW w:w="1368" w:type="dxa"/>
          </w:tcPr>
          <w:p w:rsidR="001711ED" w:rsidRDefault="001711ED">
            <w:pPr>
              <w:keepNext/>
              <w:widowControl w:val="0"/>
              <w:spacing w:after="0" w:line="240" w:lineRule="auto"/>
              <w:rPr>
                <w:b/>
                <w:vanish/>
              </w:rPr>
            </w:pPr>
          </w:p>
        </w:tc>
        <w:tc>
          <w:tcPr>
            <w:tcW w:w="1368" w:type="dxa"/>
          </w:tcPr>
          <w:p w:rsidR="001711ED" w:rsidRDefault="001711ED">
            <w:pPr>
              <w:keepNext/>
              <w:widowControl w:val="0"/>
              <w:spacing w:after="0" w:line="240" w:lineRule="auto"/>
              <w:rPr>
                <w:b/>
                <w:vanish/>
              </w:rPr>
            </w:pPr>
          </w:p>
        </w:tc>
        <w:tc>
          <w:tcPr>
            <w:tcW w:w="1368" w:type="dxa"/>
          </w:tcPr>
          <w:p w:rsidR="001711ED" w:rsidRDefault="001711ED">
            <w:pPr>
              <w:keepNext/>
              <w:widowControl w:val="0"/>
              <w:spacing w:after="0" w:line="240" w:lineRule="auto"/>
              <w:rPr>
                <w:b/>
                <w:vanish/>
              </w:rPr>
            </w:pPr>
          </w:p>
        </w:tc>
        <w:tc>
          <w:tcPr>
            <w:tcW w:w="1368" w:type="dxa"/>
          </w:tcPr>
          <w:p w:rsidR="001711ED" w:rsidRDefault="001711ED">
            <w:pPr>
              <w:keepNext/>
              <w:widowControl w:val="0"/>
              <w:spacing w:after="0" w:line="240" w:lineRule="auto"/>
              <w:rPr>
                <w:b/>
                <w:vanish/>
              </w:rPr>
            </w:pPr>
          </w:p>
        </w:tc>
        <w:tc>
          <w:tcPr>
            <w:tcW w:w="1368" w:type="dxa"/>
          </w:tcPr>
          <w:p w:rsidR="001711ED" w:rsidRDefault="001711ED">
            <w:pPr>
              <w:keepNext/>
              <w:widowControl w:val="0"/>
              <w:spacing w:after="0" w:line="240" w:lineRule="auto"/>
              <w:rPr>
                <w:b/>
                <w:vanish/>
              </w:rPr>
            </w:pPr>
          </w:p>
        </w:tc>
      </w:tr>
      <w:tr w:rsidR="001711ED">
        <w:trPr>
          <w:cantSplit/>
        </w:trPr>
        <w:tc>
          <w:tcPr>
            <w:tcW w:w="1370" w:type="dxa"/>
          </w:tcPr>
          <w:p w:rsidR="001711ED" w:rsidRDefault="00FF78B4">
            <w:pPr>
              <w:spacing w:beforeAutospacing="1" w:afterAutospacing="1"/>
            </w:pPr>
            <w:r>
              <w:rPr>
                <w:color w:val="000000"/>
              </w:rPr>
              <w:t>Number</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0</w:t>
            </w:r>
          </w:p>
        </w:tc>
      </w:tr>
      <w:tr w:rsidR="001711ED">
        <w:trPr>
          <w:cantSplit/>
        </w:trPr>
        <w:tc>
          <w:tcPr>
            <w:tcW w:w="1370" w:type="dxa"/>
          </w:tcPr>
          <w:p w:rsidR="001711ED" w:rsidRDefault="00FF78B4">
            <w:pPr>
              <w:spacing w:beforeAutospacing="1" w:afterAutospacing="1"/>
            </w:pPr>
            <w:r>
              <w:rPr>
                <w:color w:val="000000"/>
              </w:rPr>
              <w:t>Dollar Amount</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0</w:t>
            </w:r>
          </w:p>
        </w:tc>
        <w:tc>
          <w:tcPr>
            <w:tcW w:w="1370" w:type="dxa"/>
            <w:vAlign w:val="bottom"/>
          </w:tcPr>
          <w:p w:rsidR="001711ED" w:rsidRDefault="00FF78B4">
            <w:pPr>
              <w:spacing w:beforeAutospacing="1" w:afterAutospacing="1"/>
              <w:jc w:val="right"/>
            </w:pPr>
            <w:r>
              <w:rPr>
                <w:color w:val="000000"/>
              </w:rPr>
              <w:t>0</w:t>
            </w:r>
          </w:p>
        </w:tc>
      </w:tr>
    </w:tbl>
    <w:p w:rsidR="001711ED" w:rsidRDefault="001711ED">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7"/>
        <w:gridCol w:w="1337"/>
        <w:gridCol w:w="1337"/>
        <w:gridCol w:w="1337"/>
      </w:tblGrid>
      <w:tr w:rsidR="001711ED">
        <w:trPr>
          <w:cantSplit/>
        </w:trPr>
        <w:tc>
          <w:tcPr>
            <w:tcW w:w="1394" w:type="dxa"/>
          </w:tcPr>
          <w:p w:rsidR="001711ED" w:rsidRDefault="001711ED">
            <w:pPr>
              <w:keepNext/>
              <w:widowControl w:val="0"/>
              <w:spacing w:after="0" w:line="240" w:lineRule="auto"/>
              <w:rPr>
                <w:b/>
              </w:rPr>
            </w:pPr>
          </w:p>
        </w:tc>
        <w:tc>
          <w:tcPr>
            <w:tcW w:w="1393" w:type="dxa"/>
          </w:tcPr>
          <w:p w:rsidR="001711ED" w:rsidRDefault="00FF78B4">
            <w:pPr>
              <w:keepNext/>
              <w:widowControl w:val="0"/>
              <w:spacing w:after="0" w:line="240" w:lineRule="auto"/>
              <w:jc w:val="center"/>
              <w:rPr>
                <w:b/>
              </w:rPr>
            </w:pPr>
            <w:r>
              <w:rPr>
                <w:b/>
              </w:rPr>
              <w:t>Total</w:t>
            </w:r>
          </w:p>
        </w:tc>
        <w:tc>
          <w:tcPr>
            <w:tcW w:w="1393" w:type="dxa"/>
          </w:tcPr>
          <w:p w:rsidR="001711ED" w:rsidRDefault="00FF78B4">
            <w:pPr>
              <w:keepNext/>
              <w:widowControl w:val="0"/>
              <w:spacing w:after="0" w:line="240" w:lineRule="auto"/>
              <w:jc w:val="center"/>
              <w:rPr>
                <w:b/>
                <w:szCs w:val="24"/>
              </w:rPr>
            </w:pPr>
            <w:r>
              <w:rPr>
                <w:b/>
              </w:rPr>
              <w:t>Women Business Enterprises</w:t>
            </w:r>
          </w:p>
        </w:tc>
        <w:tc>
          <w:tcPr>
            <w:tcW w:w="1393" w:type="dxa"/>
          </w:tcPr>
          <w:p w:rsidR="001711ED" w:rsidRDefault="00FF78B4">
            <w:pPr>
              <w:keepNext/>
              <w:widowControl w:val="0"/>
              <w:spacing w:after="0" w:line="240" w:lineRule="auto"/>
              <w:jc w:val="center"/>
              <w:rPr>
                <w:b/>
                <w:szCs w:val="24"/>
              </w:rPr>
            </w:pPr>
            <w:r>
              <w:rPr>
                <w:b/>
              </w:rPr>
              <w:t>Male</w:t>
            </w:r>
          </w:p>
        </w:tc>
      </w:tr>
    </w:tbl>
    <w:p w:rsidR="001711ED" w:rsidRDefault="001711ED">
      <w:pPr>
        <w:keepNext/>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1711ED">
        <w:trPr>
          <w:cantSplit/>
        </w:trPr>
        <w:tc>
          <w:tcPr>
            <w:tcW w:w="5485" w:type="dxa"/>
            <w:gridSpan w:val="4"/>
          </w:tcPr>
          <w:p w:rsidR="001711ED" w:rsidRDefault="00FF78B4">
            <w:pPr>
              <w:keepNext/>
              <w:widowControl w:val="0"/>
              <w:spacing w:after="0" w:line="240" w:lineRule="auto"/>
              <w:rPr>
                <w:b/>
              </w:rPr>
            </w:pPr>
            <w:r>
              <w:rPr>
                <w:b/>
              </w:rPr>
              <w:t>Contracts</w:t>
            </w:r>
          </w:p>
        </w:tc>
      </w:tr>
      <w:tr w:rsidR="001711ED">
        <w:trPr>
          <w:cantSplit/>
          <w:hidden/>
        </w:trPr>
        <w:tc>
          <w:tcPr>
            <w:tcW w:w="1393" w:type="dxa"/>
          </w:tcPr>
          <w:p w:rsidR="001711ED" w:rsidRDefault="001711ED">
            <w:pPr>
              <w:keepNext/>
              <w:widowControl w:val="0"/>
              <w:spacing w:after="0" w:line="240" w:lineRule="auto"/>
              <w:rPr>
                <w:b/>
                <w:vanish/>
              </w:rPr>
            </w:pPr>
          </w:p>
        </w:tc>
        <w:tc>
          <w:tcPr>
            <w:tcW w:w="1364" w:type="dxa"/>
          </w:tcPr>
          <w:p w:rsidR="001711ED" w:rsidRDefault="001711ED">
            <w:pPr>
              <w:keepNext/>
              <w:widowControl w:val="0"/>
              <w:spacing w:after="0" w:line="240" w:lineRule="auto"/>
              <w:rPr>
                <w:b/>
                <w:vanish/>
              </w:rPr>
            </w:pPr>
          </w:p>
        </w:tc>
        <w:tc>
          <w:tcPr>
            <w:tcW w:w="1364" w:type="dxa"/>
          </w:tcPr>
          <w:p w:rsidR="001711ED" w:rsidRDefault="001711ED">
            <w:pPr>
              <w:keepNext/>
              <w:widowControl w:val="0"/>
              <w:spacing w:after="0" w:line="240" w:lineRule="auto"/>
              <w:rPr>
                <w:b/>
                <w:vanish/>
              </w:rPr>
            </w:pPr>
          </w:p>
        </w:tc>
        <w:tc>
          <w:tcPr>
            <w:tcW w:w="1364" w:type="dxa"/>
          </w:tcPr>
          <w:p w:rsidR="001711ED" w:rsidRDefault="001711ED">
            <w:pPr>
              <w:keepNext/>
              <w:widowControl w:val="0"/>
              <w:spacing w:after="0" w:line="240" w:lineRule="auto"/>
              <w:rPr>
                <w:b/>
                <w:vanish/>
              </w:rPr>
            </w:pPr>
          </w:p>
        </w:tc>
      </w:tr>
      <w:tr w:rsidR="001711ED">
        <w:trPr>
          <w:cantSplit/>
        </w:trPr>
        <w:tc>
          <w:tcPr>
            <w:tcW w:w="1393" w:type="dxa"/>
          </w:tcPr>
          <w:p w:rsidR="001711ED" w:rsidRDefault="00FF78B4">
            <w:pPr>
              <w:spacing w:beforeAutospacing="1" w:afterAutospacing="1"/>
            </w:pPr>
            <w:r>
              <w:rPr>
                <w:color w:val="000000"/>
              </w:rPr>
              <w:t>Dollar Amount</w:t>
            </w:r>
          </w:p>
        </w:tc>
        <w:tc>
          <w:tcPr>
            <w:tcW w:w="1364" w:type="dxa"/>
            <w:vAlign w:val="bottom"/>
          </w:tcPr>
          <w:p w:rsidR="001711ED" w:rsidRDefault="00FF78B4">
            <w:pPr>
              <w:spacing w:beforeAutospacing="1" w:afterAutospacing="1"/>
              <w:jc w:val="right"/>
            </w:pPr>
            <w:r>
              <w:rPr>
                <w:color w:val="000000"/>
              </w:rPr>
              <w:t>876,456</w:t>
            </w:r>
          </w:p>
        </w:tc>
        <w:tc>
          <w:tcPr>
            <w:tcW w:w="1364" w:type="dxa"/>
            <w:vAlign w:val="bottom"/>
          </w:tcPr>
          <w:p w:rsidR="001711ED" w:rsidRDefault="00FF78B4">
            <w:pPr>
              <w:spacing w:beforeAutospacing="1" w:afterAutospacing="1"/>
              <w:jc w:val="right"/>
            </w:pPr>
            <w:r>
              <w:rPr>
                <w:color w:val="000000"/>
              </w:rPr>
              <w:t>0</w:t>
            </w:r>
          </w:p>
        </w:tc>
        <w:tc>
          <w:tcPr>
            <w:tcW w:w="1364" w:type="dxa"/>
            <w:vAlign w:val="bottom"/>
          </w:tcPr>
          <w:p w:rsidR="001711ED" w:rsidRDefault="00FF78B4">
            <w:pPr>
              <w:spacing w:beforeAutospacing="1" w:afterAutospacing="1"/>
              <w:jc w:val="right"/>
            </w:pPr>
            <w:r>
              <w:rPr>
                <w:color w:val="000000"/>
              </w:rPr>
              <w:t>876,456</w:t>
            </w:r>
          </w:p>
        </w:tc>
      </w:tr>
      <w:tr w:rsidR="001711ED">
        <w:trPr>
          <w:cantSplit/>
        </w:trPr>
        <w:tc>
          <w:tcPr>
            <w:tcW w:w="1393" w:type="dxa"/>
          </w:tcPr>
          <w:p w:rsidR="001711ED" w:rsidRDefault="00FF78B4">
            <w:pPr>
              <w:spacing w:beforeAutospacing="1" w:afterAutospacing="1"/>
            </w:pPr>
            <w:r>
              <w:rPr>
                <w:color w:val="000000"/>
              </w:rPr>
              <w:t>Number</w:t>
            </w:r>
          </w:p>
        </w:tc>
        <w:tc>
          <w:tcPr>
            <w:tcW w:w="1364" w:type="dxa"/>
            <w:vAlign w:val="bottom"/>
          </w:tcPr>
          <w:p w:rsidR="001711ED" w:rsidRDefault="00FF78B4">
            <w:pPr>
              <w:spacing w:beforeAutospacing="1" w:afterAutospacing="1"/>
              <w:jc w:val="right"/>
            </w:pPr>
            <w:r>
              <w:rPr>
                <w:color w:val="000000"/>
              </w:rPr>
              <w:t>2</w:t>
            </w:r>
          </w:p>
        </w:tc>
        <w:tc>
          <w:tcPr>
            <w:tcW w:w="1364" w:type="dxa"/>
            <w:vAlign w:val="bottom"/>
          </w:tcPr>
          <w:p w:rsidR="001711ED" w:rsidRDefault="00FF78B4">
            <w:pPr>
              <w:spacing w:beforeAutospacing="1" w:afterAutospacing="1"/>
              <w:jc w:val="right"/>
            </w:pPr>
            <w:r>
              <w:rPr>
                <w:color w:val="000000"/>
              </w:rPr>
              <w:t>0</w:t>
            </w:r>
          </w:p>
        </w:tc>
        <w:tc>
          <w:tcPr>
            <w:tcW w:w="1364" w:type="dxa"/>
            <w:vAlign w:val="bottom"/>
          </w:tcPr>
          <w:p w:rsidR="001711ED" w:rsidRDefault="00FF78B4">
            <w:pPr>
              <w:spacing w:beforeAutospacing="1" w:afterAutospacing="1"/>
              <w:jc w:val="right"/>
            </w:pPr>
            <w:r>
              <w:rPr>
                <w:color w:val="000000"/>
              </w:rPr>
              <w:t>2</w:t>
            </w:r>
          </w:p>
        </w:tc>
      </w:tr>
    </w:tbl>
    <w:p w:rsidR="001711ED" w:rsidRDefault="001711ED">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1711ED">
        <w:trPr>
          <w:cantSplit/>
        </w:trPr>
        <w:tc>
          <w:tcPr>
            <w:tcW w:w="5485" w:type="dxa"/>
            <w:gridSpan w:val="4"/>
          </w:tcPr>
          <w:p w:rsidR="001711ED" w:rsidRDefault="00FF78B4">
            <w:pPr>
              <w:keepNext/>
              <w:widowControl w:val="0"/>
              <w:spacing w:after="0" w:line="240" w:lineRule="auto"/>
              <w:rPr>
                <w:b/>
              </w:rPr>
            </w:pPr>
            <w:r>
              <w:rPr>
                <w:b/>
              </w:rPr>
              <w:t>Sub-Contracts</w:t>
            </w:r>
          </w:p>
        </w:tc>
      </w:tr>
      <w:tr w:rsidR="001711ED">
        <w:trPr>
          <w:cantSplit/>
          <w:hidden/>
        </w:trPr>
        <w:tc>
          <w:tcPr>
            <w:tcW w:w="1393" w:type="dxa"/>
          </w:tcPr>
          <w:p w:rsidR="001711ED" w:rsidRDefault="001711ED">
            <w:pPr>
              <w:keepNext/>
              <w:widowControl w:val="0"/>
              <w:spacing w:after="0" w:line="240" w:lineRule="auto"/>
              <w:rPr>
                <w:b/>
                <w:vanish/>
              </w:rPr>
            </w:pPr>
          </w:p>
        </w:tc>
        <w:tc>
          <w:tcPr>
            <w:tcW w:w="1364" w:type="dxa"/>
          </w:tcPr>
          <w:p w:rsidR="001711ED" w:rsidRDefault="001711ED">
            <w:pPr>
              <w:keepNext/>
              <w:widowControl w:val="0"/>
              <w:spacing w:after="0" w:line="240" w:lineRule="auto"/>
              <w:rPr>
                <w:b/>
                <w:vanish/>
              </w:rPr>
            </w:pPr>
          </w:p>
        </w:tc>
        <w:tc>
          <w:tcPr>
            <w:tcW w:w="1364" w:type="dxa"/>
          </w:tcPr>
          <w:p w:rsidR="001711ED" w:rsidRDefault="001711ED">
            <w:pPr>
              <w:keepNext/>
              <w:widowControl w:val="0"/>
              <w:spacing w:after="0" w:line="240" w:lineRule="auto"/>
              <w:rPr>
                <w:b/>
                <w:vanish/>
              </w:rPr>
            </w:pPr>
          </w:p>
        </w:tc>
        <w:tc>
          <w:tcPr>
            <w:tcW w:w="1364" w:type="dxa"/>
          </w:tcPr>
          <w:p w:rsidR="001711ED" w:rsidRDefault="001711ED">
            <w:pPr>
              <w:keepNext/>
              <w:widowControl w:val="0"/>
              <w:spacing w:after="0" w:line="240" w:lineRule="auto"/>
              <w:rPr>
                <w:b/>
                <w:vanish/>
              </w:rPr>
            </w:pPr>
          </w:p>
        </w:tc>
      </w:tr>
      <w:tr w:rsidR="001711ED">
        <w:trPr>
          <w:cantSplit/>
        </w:trPr>
        <w:tc>
          <w:tcPr>
            <w:tcW w:w="1393" w:type="dxa"/>
          </w:tcPr>
          <w:p w:rsidR="001711ED" w:rsidRDefault="00FF78B4">
            <w:pPr>
              <w:spacing w:beforeAutospacing="1" w:afterAutospacing="1"/>
            </w:pPr>
            <w:r>
              <w:rPr>
                <w:color w:val="000000"/>
              </w:rPr>
              <w:t>Number</w:t>
            </w:r>
          </w:p>
        </w:tc>
        <w:tc>
          <w:tcPr>
            <w:tcW w:w="1364" w:type="dxa"/>
            <w:vAlign w:val="bottom"/>
          </w:tcPr>
          <w:p w:rsidR="001711ED" w:rsidRDefault="00FF78B4">
            <w:pPr>
              <w:spacing w:beforeAutospacing="1" w:afterAutospacing="1"/>
              <w:jc w:val="right"/>
            </w:pPr>
            <w:r>
              <w:rPr>
                <w:color w:val="000000"/>
              </w:rPr>
              <w:t>0</w:t>
            </w:r>
          </w:p>
        </w:tc>
        <w:tc>
          <w:tcPr>
            <w:tcW w:w="1364" w:type="dxa"/>
            <w:vAlign w:val="bottom"/>
          </w:tcPr>
          <w:p w:rsidR="001711ED" w:rsidRDefault="00FF78B4">
            <w:pPr>
              <w:spacing w:beforeAutospacing="1" w:afterAutospacing="1"/>
              <w:jc w:val="right"/>
            </w:pPr>
            <w:r>
              <w:rPr>
                <w:color w:val="000000"/>
              </w:rPr>
              <w:t>0</w:t>
            </w:r>
          </w:p>
        </w:tc>
        <w:tc>
          <w:tcPr>
            <w:tcW w:w="1364" w:type="dxa"/>
            <w:vAlign w:val="bottom"/>
          </w:tcPr>
          <w:p w:rsidR="001711ED" w:rsidRDefault="00FF78B4">
            <w:pPr>
              <w:spacing w:beforeAutospacing="1" w:afterAutospacing="1"/>
              <w:jc w:val="right"/>
            </w:pPr>
            <w:r>
              <w:rPr>
                <w:color w:val="000000"/>
              </w:rPr>
              <w:t>0</w:t>
            </w:r>
          </w:p>
        </w:tc>
      </w:tr>
      <w:tr w:rsidR="001711ED">
        <w:trPr>
          <w:cantSplit/>
        </w:trPr>
        <w:tc>
          <w:tcPr>
            <w:tcW w:w="1393" w:type="dxa"/>
          </w:tcPr>
          <w:p w:rsidR="001711ED" w:rsidRDefault="00FF78B4">
            <w:pPr>
              <w:spacing w:beforeAutospacing="1" w:afterAutospacing="1"/>
            </w:pPr>
            <w:r>
              <w:rPr>
                <w:color w:val="000000"/>
              </w:rPr>
              <w:t>Dollar Amount</w:t>
            </w:r>
          </w:p>
        </w:tc>
        <w:tc>
          <w:tcPr>
            <w:tcW w:w="1364" w:type="dxa"/>
            <w:vAlign w:val="bottom"/>
          </w:tcPr>
          <w:p w:rsidR="001711ED" w:rsidRDefault="00FF78B4">
            <w:pPr>
              <w:spacing w:beforeAutospacing="1" w:afterAutospacing="1"/>
              <w:jc w:val="right"/>
            </w:pPr>
            <w:r>
              <w:rPr>
                <w:color w:val="000000"/>
              </w:rPr>
              <w:t>0</w:t>
            </w:r>
          </w:p>
        </w:tc>
        <w:tc>
          <w:tcPr>
            <w:tcW w:w="1364" w:type="dxa"/>
            <w:vAlign w:val="bottom"/>
          </w:tcPr>
          <w:p w:rsidR="001711ED" w:rsidRDefault="00FF78B4">
            <w:pPr>
              <w:spacing w:beforeAutospacing="1" w:afterAutospacing="1"/>
              <w:jc w:val="right"/>
            </w:pPr>
            <w:r>
              <w:rPr>
                <w:color w:val="000000"/>
              </w:rPr>
              <w:t>0</w:t>
            </w:r>
          </w:p>
        </w:tc>
        <w:tc>
          <w:tcPr>
            <w:tcW w:w="1364" w:type="dxa"/>
            <w:vAlign w:val="bottom"/>
          </w:tcPr>
          <w:p w:rsidR="001711ED" w:rsidRDefault="00FF78B4">
            <w:pPr>
              <w:spacing w:beforeAutospacing="1" w:afterAutospacing="1"/>
              <w:jc w:val="right"/>
            </w:pPr>
            <w:r>
              <w:rPr>
                <w:color w:val="000000"/>
              </w:rPr>
              <w:t>0</w:t>
            </w:r>
          </w:p>
        </w:tc>
      </w:tr>
    </w:tbl>
    <w:p w:rsidR="001711ED" w:rsidRDefault="00FF78B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51C28">
        <w:rPr>
          <w:rFonts w:asciiTheme="minorHAnsi" w:hAnsiTheme="minorHAnsi"/>
          <w:noProof/>
        </w:rPr>
        <w:t>8</w:t>
      </w:r>
      <w:r>
        <w:rPr>
          <w:rFonts w:asciiTheme="minorHAnsi" w:hAnsiTheme="minorHAnsi"/>
        </w:rPr>
        <w:fldChar w:fldCharType="end"/>
      </w:r>
      <w:r>
        <w:rPr>
          <w:rFonts w:asciiTheme="minorHAnsi" w:hAnsiTheme="minorHAnsi"/>
        </w:rPr>
        <w:t xml:space="preserve"> - Minority Business and Women Business Enterprises</w:t>
      </w:r>
    </w:p>
    <w:p w:rsidR="001711ED" w:rsidRDefault="001711ED">
      <w:pPr>
        <w:widowControl w:val="0"/>
        <w:spacing w:after="0" w:line="240"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711ED">
        <w:tc>
          <w:tcPr>
            <w:tcW w:w="9576" w:type="dxa"/>
          </w:tcPr>
          <w:p w:rsidR="001711ED" w:rsidRDefault="00FF78B4">
            <w:pPr>
              <w:keepNext/>
              <w:widowControl w:val="0"/>
              <w:spacing w:after="0" w:line="240" w:lineRule="auto"/>
              <w:rPr>
                <w:b/>
                <w:szCs w:val="24"/>
              </w:rPr>
            </w:pPr>
            <w:r>
              <w:rPr>
                <w:b/>
              </w:rPr>
              <w:t xml:space="preserve">Minority Owners of Rental Property </w:t>
            </w:r>
            <w:r>
              <w:t>– Indicate the number of HOME assisted rental property owners and the total amount of HOME funds in these rental properties assisted</w:t>
            </w:r>
          </w:p>
        </w:tc>
      </w:tr>
    </w:tbl>
    <w:p w:rsidR="001711ED" w:rsidRDefault="001711ED">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4"/>
        <w:gridCol w:w="793"/>
        <w:gridCol w:w="1486"/>
        <w:gridCol w:w="1398"/>
        <w:gridCol w:w="1433"/>
        <w:gridCol w:w="1433"/>
        <w:gridCol w:w="1433"/>
      </w:tblGrid>
      <w:tr w:rsidR="001711ED">
        <w:tc>
          <w:tcPr>
            <w:tcW w:w="1408" w:type="dxa"/>
            <w:vMerge w:val="restart"/>
          </w:tcPr>
          <w:p w:rsidR="001711ED" w:rsidRDefault="001711ED">
            <w:pPr>
              <w:keepNext/>
              <w:widowControl w:val="0"/>
              <w:spacing w:after="0" w:line="240" w:lineRule="auto"/>
              <w:jc w:val="center"/>
              <w:rPr>
                <w:b/>
              </w:rPr>
            </w:pPr>
          </w:p>
        </w:tc>
        <w:tc>
          <w:tcPr>
            <w:tcW w:w="809" w:type="dxa"/>
            <w:vMerge w:val="restart"/>
          </w:tcPr>
          <w:p w:rsidR="001711ED" w:rsidRDefault="00FF78B4">
            <w:pPr>
              <w:keepNext/>
              <w:widowControl w:val="0"/>
              <w:spacing w:after="0" w:line="240" w:lineRule="auto"/>
              <w:jc w:val="center"/>
              <w:rPr>
                <w:b/>
              </w:rPr>
            </w:pPr>
            <w:r>
              <w:rPr>
                <w:b/>
              </w:rPr>
              <w:t>Total</w:t>
            </w:r>
          </w:p>
        </w:tc>
        <w:tc>
          <w:tcPr>
            <w:tcW w:w="5891" w:type="dxa"/>
            <w:gridSpan w:val="4"/>
          </w:tcPr>
          <w:p w:rsidR="001711ED" w:rsidRDefault="00FF78B4">
            <w:pPr>
              <w:keepNext/>
              <w:widowControl w:val="0"/>
              <w:spacing w:after="0" w:line="240" w:lineRule="auto"/>
              <w:jc w:val="center"/>
              <w:rPr>
                <w:b/>
              </w:rPr>
            </w:pPr>
            <w:r>
              <w:rPr>
                <w:b/>
              </w:rPr>
              <w:t>Minority Property Owners</w:t>
            </w:r>
          </w:p>
        </w:tc>
        <w:tc>
          <w:tcPr>
            <w:tcW w:w="1468" w:type="dxa"/>
            <w:vMerge w:val="restart"/>
          </w:tcPr>
          <w:p w:rsidR="001711ED" w:rsidRDefault="00FF78B4">
            <w:pPr>
              <w:keepNext/>
              <w:widowControl w:val="0"/>
              <w:spacing w:after="0" w:line="240" w:lineRule="auto"/>
              <w:jc w:val="center"/>
              <w:rPr>
                <w:b/>
              </w:rPr>
            </w:pPr>
            <w:r>
              <w:rPr>
                <w:b/>
              </w:rPr>
              <w:t>White Non-Hispanic</w:t>
            </w:r>
          </w:p>
        </w:tc>
      </w:tr>
      <w:tr w:rsidR="001711ED">
        <w:tc>
          <w:tcPr>
            <w:tcW w:w="1408" w:type="dxa"/>
            <w:vMerge/>
          </w:tcPr>
          <w:p w:rsidR="001711ED" w:rsidRDefault="001711ED">
            <w:pPr>
              <w:keepNext/>
              <w:widowControl w:val="0"/>
              <w:spacing w:after="0" w:line="240" w:lineRule="auto"/>
              <w:jc w:val="center"/>
              <w:rPr>
                <w:b/>
              </w:rPr>
            </w:pPr>
          </w:p>
        </w:tc>
        <w:tc>
          <w:tcPr>
            <w:tcW w:w="809" w:type="dxa"/>
            <w:vMerge/>
          </w:tcPr>
          <w:p w:rsidR="001711ED" w:rsidRDefault="001711ED">
            <w:pPr>
              <w:keepNext/>
              <w:widowControl w:val="0"/>
              <w:spacing w:after="0" w:line="240" w:lineRule="auto"/>
              <w:jc w:val="center"/>
              <w:rPr>
                <w:b/>
              </w:rPr>
            </w:pPr>
          </w:p>
        </w:tc>
        <w:tc>
          <w:tcPr>
            <w:tcW w:w="1523" w:type="dxa"/>
          </w:tcPr>
          <w:p w:rsidR="001711ED" w:rsidRDefault="00FF78B4">
            <w:pPr>
              <w:keepNext/>
              <w:widowControl w:val="0"/>
              <w:jc w:val="center"/>
              <w:rPr>
                <w:b/>
              </w:rPr>
            </w:pPr>
            <w:r>
              <w:rPr>
                <w:b/>
              </w:rPr>
              <w:t>Alaskan Native or American Indian</w:t>
            </w:r>
          </w:p>
        </w:tc>
        <w:tc>
          <w:tcPr>
            <w:tcW w:w="1432" w:type="dxa"/>
          </w:tcPr>
          <w:p w:rsidR="001711ED" w:rsidRDefault="00FF78B4">
            <w:pPr>
              <w:keepNext/>
              <w:widowControl w:val="0"/>
              <w:ind w:right="-28"/>
              <w:jc w:val="center"/>
              <w:rPr>
                <w:b/>
              </w:rPr>
            </w:pPr>
            <w:r>
              <w:rPr>
                <w:b/>
              </w:rPr>
              <w:t>Asian or Pacific Islander</w:t>
            </w:r>
          </w:p>
        </w:tc>
        <w:tc>
          <w:tcPr>
            <w:tcW w:w="1468" w:type="dxa"/>
          </w:tcPr>
          <w:p w:rsidR="001711ED" w:rsidRDefault="00FF78B4">
            <w:pPr>
              <w:keepNext/>
              <w:widowControl w:val="0"/>
              <w:jc w:val="center"/>
              <w:rPr>
                <w:b/>
              </w:rPr>
            </w:pPr>
            <w:r>
              <w:rPr>
                <w:b/>
              </w:rPr>
              <w:t>Black Non-Hispanic</w:t>
            </w:r>
          </w:p>
        </w:tc>
        <w:tc>
          <w:tcPr>
            <w:tcW w:w="1468" w:type="dxa"/>
          </w:tcPr>
          <w:p w:rsidR="001711ED" w:rsidRDefault="00FF78B4">
            <w:pPr>
              <w:keepNext/>
              <w:widowControl w:val="0"/>
              <w:jc w:val="center"/>
              <w:rPr>
                <w:b/>
              </w:rPr>
            </w:pPr>
            <w:r>
              <w:rPr>
                <w:b/>
              </w:rPr>
              <w:t>Hispanic</w:t>
            </w:r>
          </w:p>
        </w:tc>
        <w:tc>
          <w:tcPr>
            <w:tcW w:w="1468" w:type="dxa"/>
            <w:vMerge/>
          </w:tcPr>
          <w:p w:rsidR="001711ED" w:rsidRDefault="001711ED">
            <w:pPr>
              <w:keepNext/>
              <w:widowControl w:val="0"/>
              <w:spacing w:after="0" w:line="240" w:lineRule="auto"/>
              <w:jc w:val="center"/>
              <w:rPr>
                <w:b/>
              </w:rPr>
            </w:pPr>
          </w:p>
        </w:tc>
      </w:tr>
      <w:tr w:rsidR="001711ED">
        <w:trPr>
          <w:cantSplit/>
        </w:trPr>
        <w:tc>
          <w:tcPr>
            <w:tcW w:w="1411" w:type="dxa"/>
          </w:tcPr>
          <w:p w:rsidR="001711ED" w:rsidRDefault="00FF78B4">
            <w:pPr>
              <w:spacing w:beforeAutospacing="1" w:afterAutospacing="1"/>
            </w:pPr>
            <w:r>
              <w:rPr>
                <w:color w:val="000000"/>
              </w:rPr>
              <w:t>Number</w:t>
            </w:r>
          </w:p>
        </w:tc>
        <w:tc>
          <w:tcPr>
            <w:tcW w:w="810" w:type="dxa"/>
            <w:vAlign w:val="bottom"/>
          </w:tcPr>
          <w:p w:rsidR="001711ED" w:rsidRDefault="00FF78B4">
            <w:pPr>
              <w:spacing w:beforeAutospacing="1" w:afterAutospacing="1"/>
              <w:jc w:val="right"/>
            </w:pPr>
            <w:r>
              <w:rPr>
                <w:color w:val="000000"/>
              </w:rPr>
              <w:t>5</w:t>
            </w:r>
          </w:p>
        </w:tc>
        <w:tc>
          <w:tcPr>
            <w:tcW w:w="1525" w:type="dxa"/>
            <w:vAlign w:val="bottom"/>
          </w:tcPr>
          <w:p w:rsidR="001711ED" w:rsidRDefault="00FF78B4">
            <w:pPr>
              <w:spacing w:beforeAutospacing="1" w:afterAutospacing="1"/>
              <w:jc w:val="right"/>
            </w:pPr>
            <w:r>
              <w:rPr>
                <w:color w:val="000000"/>
              </w:rPr>
              <w:t>0</w:t>
            </w:r>
          </w:p>
        </w:tc>
        <w:tc>
          <w:tcPr>
            <w:tcW w:w="1434" w:type="dxa"/>
            <w:vAlign w:val="bottom"/>
          </w:tcPr>
          <w:p w:rsidR="001711ED" w:rsidRDefault="00FF78B4">
            <w:pPr>
              <w:spacing w:beforeAutospacing="1" w:afterAutospacing="1"/>
              <w:jc w:val="right"/>
            </w:pPr>
            <w:r>
              <w:rPr>
                <w:color w:val="000000"/>
              </w:rPr>
              <w:t>0</w:t>
            </w:r>
          </w:p>
        </w:tc>
        <w:tc>
          <w:tcPr>
            <w:tcW w:w="1470" w:type="dxa"/>
            <w:vAlign w:val="bottom"/>
          </w:tcPr>
          <w:p w:rsidR="001711ED" w:rsidRDefault="00FF78B4">
            <w:pPr>
              <w:spacing w:beforeAutospacing="1" w:afterAutospacing="1"/>
              <w:jc w:val="right"/>
            </w:pPr>
            <w:r>
              <w:rPr>
                <w:color w:val="000000"/>
              </w:rPr>
              <w:t>2</w:t>
            </w:r>
          </w:p>
        </w:tc>
        <w:tc>
          <w:tcPr>
            <w:tcW w:w="1470" w:type="dxa"/>
            <w:vAlign w:val="bottom"/>
          </w:tcPr>
          <w:p w:rsidR="001711ED" w:rsidRDefault="00FF78B4">
            <w:pPr>
              <w:spacing w:beforeAutospacing="1" w:afterAutospacing="1"/>
              <w:jc w:val="right"/>
            </w:pPr>
            <w:r>
              <w:rPr>
                <w:color w:val="000000"/>
              </w:rPr>
              <w:t>0</w:t>
            </w:r>
          </w:p>
        </w:tc>
        <w:tc>
          <w:tcPr>
            <w:tcW w:w="1470" w:type="dxa"/>
            <w:vAlign w:val="bottom"/>
          </w:tcPr>
          <w:p w:rsidR="001711ED" w:rsidRDefault="00FF78B4">
            <w:pPr>
              <w:spacing w:beforeAutospacing="1" w:afterAutospacing="1"/>
              <w:jc w:val="right"/>
            </w:pPr>
            <w:r>
              <w:rPr>
                <w:color w:val="000000"/>
              </w:rPr>
              <w:t>3</w:t>
            </w:r>
          </w:p>
        </w:tc>
      </w:tr>
      <w:tr w:rsidR="001711ED">
        <w:trPr>
          <w:cantSplit/>
        </w:trPr>
        <w:tc>
          <w:tcPr>
            <w:tcW w:w="1411" w:type="dxa"/>
          </w:tcPr>
          <w:p w:rsidR="001711ED" w:rsidRDefault="00FF78B4">
            <w:pPr>
              <w:spacing w:beforeAutospacing="1" w:afterAutospacing="1"/>
            </w:pPr>
            <w:r>
              <w:rPr>
                <w:color w:val="000000"/>
              </w:rPr>
              <w:t>Dollar Amount</w:t>
            </w:r>
          </w:p>
        </w:tc>
        <w:tc>
          <w:tcPr>
            <w:tcW w:w="810" w:type="dxa"/>
            <w:vAlign w:val="bottom"/>
          </w:tcPr>
          <w:p w:rsidR="001711ED" w:rsidRDefault="00FF78B4">
            <w:pPr>
              <w:spacing w:beforeAutospacing="1" w:afterAutospacing="1"/>
              <w:jc w:val="right"/>
            </w:pPr>
            <w:r>
              <w:rPr>
                <w:color w:val="000000"/>
              </w:rPr>
              <w:t>44,539</w:t>
            </w:r>
          </w:p>
        </w:tc>
        <w:tc>
          <w:tcPr>
            <w:tcW w:w="1525" w:type="dxa"/>
            <w:vAlign w:val="bottom"/>
          </w:tcPr>
          <w:p w:rsidR="001711ED" w:rsidRDefault="00FF78B4">
            <w:pPr>
              <w:spacing w:beforeAutospacing="1" w:afterAutospacing="1"/>
              <w:jc w:val="right"/>
            </w:pPr>
            <w:r>
              <w:rPr>
                <w:color w:val="000000"/>
              </w:rPr>
              <w:t>0</w:t>
            </w:r>
          </w:p>
        </w:tc>
        <w:tc>
          <w:tcPr>
            <w:tcW w:w="1434" w:type="dxa"/>
            <w:vAlign w:val="bottom"/>
          </w:tcPr>
          <w:p w:rsidR="001711ED" w:rsidRDefault="00FF78B4">
            <w:pPr>
              <w:spacing w:beforeAutospacing="1" w:afterAutospacing="1"/>
              <w:jc w:val="right"/>
            </w:pPr>
            <w:r>
              <w:rPr>
                <w:color w:val="000000"/>
              </w:rPr>
              <w:t>0</w:t>
            </w:r>
          </w:p>
        </w:tc>
        <w:tc>
          <w:tcPr>
            <w:tcW w:w="1470" w:type="dxa"/>
            <w:vAlign w:val="bottom"/>
          </w:tcPr>
          <w:p w:rsidR="001711ED" w:rsidRDefault="00FF78B4">
            <w:pPr>
              <w:spacing w:beforeAutospacing="1" w:afterAutospacing="1"/>
              <w:jc w:val="right"/>
            </w:pPr>
            <w:r>
              <w:rPr>
                <w:color w:val="000000"/>
              </w:rPr>
              <w:t>9,678</w:t>
            </w:r>
          </w:p>
        </w:tc>
        <w:tc>
          <w:tcPr>
            <w:tcW w:w="1470" w:type="dxa"/>
            <w:vAlign w:val="bottom"/>
          </w:tcPr>
          <w:p w:rsidR="001711ED" w:rsidRDefault="00FF78B4">
            <w:pPr>
              <w:spacing w:beforeAutospacing="1" w:afterAutospacing="1"/>
              <w:jc w:val="right"/>
            </w:pPr>
            <w:r>
              <w:rPr>
                <w:color w:val="000000"/>
              </w:rPr>
              <w:t>0</w:t>
            </w:r>
          </w:p>
        </w:tc>
        <w:tc>
          <w:tcPr>
            <w:tcW w:w="1470" w:type="dxa"/>
            <w:vAlign w:val="bottom"/>
          </w:tcPr>
          <w:p w:rsidR="001711ED" w:rsidRDefault="00FF78B4">
            <w:pPr>
              <w:spacing w:beforeAutospacing="1" w:afterAutospacing="1"/>
              <w:jc w:val="right"/>
            </w:pPr>
            <w:r>
              <w:rPr>
                <w:color w:val="000000"/>
              </w:rPr>
              <w:t>34,862</w:t>
            </w:r>
          </w:p>
        </w:tc>
      </w:tr>
    </w:tbl>
    <w:p w:rsidR="001711ED" w:rsidRDefault="00FF78B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51C28">
        <w:rPr>
          <w:rFonts w:asciiTheme="minorHAnsi" w:hAnsiTheme="minorHAnsi"/>
          <w:noProof/>
        </w:rPr>
        <w:t>9</w:t>
      </w:r>
      <w:r>
        <w:rPr>
          <w:rFonts w:asciiTheme="minorHAnsi" w:hAnsiTheme="minorHAnsi"/>
        </w:rPr>
        <w:fldChar w:fldCharType="end"/>
      </w:r>
      <w:r>
        <w:rPr>
          <w:rFonts w:asciiTheme="minorHAnsi" w:hAnsiTheme="minorHAnsi"/>
        </w:rPr>
        <w:t xml:space="preserve"> – Minority Owners of Rental Property</w:t>
      </w:r>
    </w:p>
    <w:p w:rsidR="001711ED" w:rsidRDefault="001711ED">
      <w:pPr>
        <w:widowControl w:val="0"/>
        <w:spacing w:line="204"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711ED">
        <w:tc>
          <w:tcPr>
            <w:tcW w:w="13176" w:type="dxa"/>
          </w:tcPr>
          <w:p w:rsidR="001711ED" w:rsidRDefault="00FF78B4">
            <w:pPr>
              <w:keepNext/>
              <w:widowControl w:val="0"/>
              <w:spacing w:after="0" w:line="240" w:lineRule="auto"/>
              <w:rPr>
                <w:b/>
              </w:rPr>
            </w:pPr>
            <w:r>
              <w:rPr>
                <w:b/>
              </w:rPr>
              <w:lastRenderedPageBreak/>
              <w:t xml:space="preserve">Relocation and Real Property Acquisition – </w:t>
            </w:r>
            <w:r>
              <w:t>Indicate the number of persons displaced, the cost of relocation payments, the number of parcels acquired, and the cost of acquisition</w:t>
            </w:r>
          </w:p>
        </w:tc>
      </w:tr>
    </w:tbl>
    <w:p w:rsidR="001711ED" w:rsidRDefault="001711ED">
      <w:pPr>
        <w:keepNext/>
        <w:widowControl w:val="0"/>
        <w:spacing w:after="0" w:line="240" w:lineRule="auto"/>
        <w:rPr>
          <w:b/>
          <w:vanish/>
          <w:sz w:val="24"/>
          <w:szCs w:val="24"/>
        </w:rPr>
      </w:pPr>
    </w:p>
    <w:tbl>
      <w:tblPr>
        <w:tblW w:w="342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81"/>
        <w:gridCol w:w="1660"/>
        <w:gridCol w:w="1660"/>
      </w:tblGrid>
      <w:tr w:rsidR="001711ED">
        <w:trPr>
          <w:cantSplit/>
          <w:hidden/>
        </w:trPr>
        <w:tc>
          <w:tcPr>
            <w:tcW w:w="4392" w:type="dxa"/>
          </w:tcPr>
          <w:p w:rsidR="001711ED" w:rsidRDefault="001711ED">
            <w:pPr>
              <w:keepNext/>
              <w:widowControl w:val="0"/>
              <w:spacing w:after="0" w:line="240" w:lineRule="auto"/>
              <w:rPr>
                <w:b/>
                <w:vanish/>
              </w:rPr>
            </w:pPr>
          </w:p>
        </w:tc>
        <w:tc>
          <w:tcPr>
            <w:tcW w:w="2314" w:type="dxa"/>
          </w:tcPr>
          <w:p w:rsidR="001711ED" w:rsidRDefault="00FF78B4">
            <w:pPr>
              <w:keepNext/>
              <w:widowControl w:val="0"/>
              <w:spacing w:after="0" w:line="240" w:lineRule="auto"/>
              <w:jc w:val="center"/>
              <w:rPr>
                <w:b/>
                <w:vanish/>
              </w:rPr>
            </w:pPr>
            <w:r>
              <w:rPr>
                <w:b/>
                <w:vanish/>
              </w:rPr>
              <w:t>Number</w:t>
            </w:r>
          </w:p>
        </w:tc>
        <w:tc>
          <w:tcPr>
            <w:tcW w:w="2314" w:type="dxa"/>
          </w:tcPr>
          <w:p w:rsidR="001711ED" w:rsidRDefault="00FF78B4">
            <w:pPr>
              <w:keepNext/>
              <w:widowControl w:val="0"/>
              <w:spacing w:after="0" w:line="240" w:lineRule="auto"/>
              <w:jc w:val="center"/>
              <w:rPr>
                <w:b/>
                <w:vanish/>
              </w:rPr>
            </w:pPr>
            <w:r>
              <w:rPr>
                <w:b/>
                <w:vanish/>
              </w:rPr>
              <w:t>Cost</w:t>
            </w:r>
          </w:p>
        </w:tc>
      </w:tr>
      <w:tr w:rsidR="001711ED">
        <w:trPr>
          <w:cantSplit/>
        </w:trPr>
        <w:tc>
          <w:tcPr>
            <w:tcW w:w="3163" w:type="dxa"/>
          </w:tcPr>
          <w:p w:rsidR="001711ED" w:rsidRDefault="00FF78B4">
            <w:pPr>
              <w:spacing w:beforeAutospacing="1" w:afterAutospacing="1"/>
            </w:pPr>
            <w:r>
              <w:rPr>
                <w:color w:val="000000"/>
              </w:rPr>
              <w:t>Parcels Acquired</w:t>
            </w:r>
          </w:p>
        </w:tc>
        <w:tc>
          <w:tcPr>
            <w:tcW w:w="1701" w:type="dxa"/>
            <w:vAlign w:val="bottom"/>
          </w:tcPr>
          <w:p w:rsidR="001711ED" w:rsidRDefault="00FF78B4">
            <w:pPr>
              <w:spacing w:beforeAutospacing="1" w:afterAutospacing="1"/>
              <w:jc w:val="right"/>
            </w:pPr>
            <w:r>
              <w:rPr>
                <w:color w:val="000000"/>
              </w:rPr>
              <w:t>0</w:t>
            </w:r>
          </w:p>
        </w:tc>
        <w:tc>
          <w:tcPr>
            <w:tcW w:w="1701" w:type="dxa"/>
            <w:vAlign w:val="bottom"/>
          </w:tcPr>
          <w:p w:rsidR="001711ED" w:rsidRDefault="00FF78B4">
            <w:pPr>
              <w:spacing w:beforeAutospacing="1" w:afterAutospacing="1"/>
              <w:jc w:val="right"/>
            </w:pPr>
            <w:r>
              <w:rPr>
                <w:color w:val="000000"/>
              </w:rPr>
              <w:t>0</w:t>
            </w:r>
          </w:p>
        </w:tc>
      </w:tr>
      <w:tr w:rsidR="001711ED">
        <w:trPr>
          <w:cantSplit/>
        </w:trPr>
        <w:tc>
          <w:tcPr>
            <w:tcW w:w="3163" w:type="dxa"/>
          </w:tcPr>
          <w:p w:rsidR="001711ED" w:rsidRDefault="00FF78B4">
            <w:pPr>
              <w:spacing w:beforeAutospacing="1" w:afterAutospacing="1"/>
            </w:pPr>
            <w:r>
              <w:rPr>
                <w:color w:val="000000"/>
              </w:rPr>
              <w:t>Businesses Displaced</w:t>
            </w:r>
          </w:p>
        </w:tc>
        <w:tc>
          <w:tcPr>
            <w:tcW w:w="1701" w:type="dxa"/>
            <w:vAlign w:val="bottom"/>
          </w:tcPr>
          <w:p w:rsidR="001711ED" w:rsidRDefault="00FF78B4">
            <w:pPr>
              <w:spacing w:beforeAutospacing="1" w:afterAutospacing="1"/>
              <w:jc w:val="right"/>
            </w:pPr>
            <w:r>
              <w:rPr>
                <w:color w:val="000000"/>
              </w:rPr>
              <w:t>0</w:t>
            </w:r>
          </w:p>
        </w:tc>
        <w:tc>
          <w:tcPr>
            <w:tcW w:w="1701" w:type="dxa"/>
            <w:vAlign w:val="bottom"/>
          </w:tcPr>
          <w:p w:rsidR="001711ED" w:rsidRDefault="00FF78B4">
            <w:pPr>
              <w:spacing w:beforeAutospacing="1" w:afterAutospacing="1"/>
              <w:jc w:val="right"/>
            </w:pPr>
            <w:r>
              <w:rPr>
                <w:color w:val="000000"/>
              </w:rPr>
              <w:t>0</w:t>
            </w:r>
          </w:p>
        </w:tc>
      </w:tr>
      <w:tr w:rsidR="001711ED">
        <w:trPr>
          <w:cantSplit/>
        </w:trPr>
        <w:tc>
          <w:tcPr>
            <w:tcW w:w="3163" w:type="dxa"/>
          </w:tcPr>
          <w:p w:rsidR="001711ED" w:rsidRDefault="00FF78B4">
            <w:pPr>
              <w:spacing w:beforeAutospacing="1" w:afterAutospacing="1"/>
            </w:pPr>
            <w:r>
              <w:rPr>
                <w:color w:val="000000"/>
              </w:rPr>
              <w:t>Nonprofit Organizations Displaced</w:t>
            </w:r>
          </w:p>
        </w:tc>
        <w:tc>
          <w:tcPr>
            <w:tcW w:w="1701" w:type="dxa"/>
            <w:vAlign w:val="bottom"/>
          </w:tcPr>
          <w:p w:rsidR="001711ED" w:rsidRDefault="00FF78B4">
            <w:pPr>
              <w:spacing w:beforeAutospacing="1" w:afterAutospacing="1"/>
              <w:jc w:val="right"/>
            </w:pPr>
            <w:r>
              <w:rPr>
                <w:color w:val="000000"/>
              </w:rPr>
              <w:t>0</w:t>
            </w:r>
          </w:p>
        </w:tc>
        <w:tc>
          <w:tcPr>
            <w:tcW w:w="1701" w:type="dxa"/>
            <w:vAlign w:val="bottom"/>
          </w:tcPr>
          <w:p w:rsidR="001711ED" w:rsidRDefault="00FF78B4">
            <w:pPr>
              <w:spacing w:beforeAutospacing="1" w:afterAutospacing="1"/>
              <w:jc w:val="right"/>
            </w:pPr>
            <w:r>
              <w:rPr>
                <w:color w:val="000000"/>
              </w:rPr>
              <w:t>0</w:t>
            </w:r>
          </w:p>
        </w:tc>
      </w:tr>
      <w:tr w:rsidR="001711ED">
        <w:trPr>
          <w:cantSplit/>
        </w:trPr>
        <w:tc>
          <w:tcPr>
            <w:tcW w:w="3163" w:type="dxa"/>
          </w:tcPr>
          <w:p w:rsidR="001711ED" w:rsidRDefault="00FF78B4">
            <w:pPr>
              <w:spacing w:beforeAutospacing="1" w:afterAutospacing="1"/>
            </w:pPr>
            <w:r>
              <w:rPr>
                <w:color w:val="000000"/>
              </w:rPr>
              <w:t>Households Temporarily Relocated, not Displaced</w:t>
            </w:r>
          </w:p>
        </w:tc>
        <w:tc>
          <w:tcPr>
            <w:tcW w:w="1701" w:type="dxa"/>
            <w:vAlign w:val="bottom"/>
          </w:tcPr>
          <w:p w:rsidR="001711ED" w:rsidRDefault="00FF78B4">
            <w:pPr>
              <w:spacing w:beforeAutospacing="1" w:afterAutospacing="1"/>
              <w:jc w:val="right"/>
            </w:pPr>
            <w:r>
              <w:rPr>
                <w:color w:val="000000"/>
              </w:rPr>
              <w:t>0</w:t>
            </w:r>
          </w:p>
        </w:tc>
        <w:tc>
          <w:tcPr>
            <w:tcW w:w="1701" w:type="dxa"/>
            <w:vAlign w:val="bottom"/>
          </w:tcPr>
          <w:p w:rsidR="001711ED" w:rsidRDefault="00FF78B4">
            <w:pPr>
              <w:spacing w:beforeAutospacing="1" w:afterAutospacing="1"/>
              <w:jc w:val="right"/>
            </w:pPr>
            <w:r>
              <w:rPr>
                <w:color w:val="000000"/>
              </w:rPr>
              <w:t>0</w:t>
            </w:r>
          </w:p>
        </w:tc>
      </w:tr>
    </w:tbl>
    <w:p w:rsidR="001711ED" w:rsidRDefault="001711ED">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33"/>
        <w:gridCol w:w="784"/>
        <w:gridCol w:w="1459"/>
        <w:gridCol w:w="1366"/>
        <w:gridCol w:w="1403"/>
        <w:gridCol w:w="1402"/>
        <w:gridCol w:w="1403"/>
      </w:tblGrid>
      <w:tr w:rsidR="001711ED">
        <w:trPr>
          <w:cantSplit/>
        </w:trPr>
        <w:tc>
          <w:tcPr>
            <w:tcW w:w="1572" w:type="dxa"/>
            <w:vMerge w:val="restart"/>
          </w:tcPr>
          <w:p w:rsidR="001711ED" w:rsidRDefault="00FF78B4">
            <w:pPr>
              <w:keepNext/>
              <w:widowControl w:val="0"/>
              <w:spacing w:after="0" w:line="240" w:lineRule="auto"/>
              <w:jc w:val="center"/>
              <w:rPr>
                <w:b/>
              </w:rPr>
            </w:pPr>
            <w:r>
              <w:rPr>
                <w:b/>
              </w:rPr>
              <w:t>Households Displaced</w:t>
            </w:r>
          </w:p>
        </w:tc>
        <w:tc>
          <w:tcPr>
            <w:tcW w:w="800" w:type="dxa"/>
            <w:vMerge w:val="restart"/>
          </w:tcPr>
          <w:p w:rsidR="001711ED" w:rsidRDefault="00FF78B4">
            <w:pPr>
              <w:keepNext/>
              <w:widowControl w:val="0"/>
              <w:spacing w:after="0" w:line="240" w:lineRule="auto"/>
              <w:jc w:val="center"/>
              <w:rPr>
                <w:b/>
              </w:rPr>
            </w:pPr>
            <w:r>
              <w:rPr>
                <w:b/>
              </w:rPr>
              <w:t>Total</w:t>
            </w:r>
          </w:p>
        </w:tc>
        <w:tc>
          <w:tcPr>
            <w:tcW w:w="5767" w:type="dxa"/>
            <w:gridSpan w:val="4"/>
          </w:tcPr>
          <w:p w:rsidR="001711ED" w:rsidRDefault="00FF78B4">
            <w:pPr>
              <w:keepNext/>
              <w:widowControl w:val="0"/>
              <w:spacing w:after="0" w:line="240" w:lineRule="auto"/>
              <w:jc w:val="center"/>
              <w:rPr>
                <w:b/>
              </w:rPr>
            </w:pPr>
            <w:r>
              <w:rPr>
                <w:b/>
              </w:rPr>
              <w:t>Minority Property Enterprises</w:t>
            </w:r>
          </w:p>
        </w:tc>
        <w:tc>
          <w:tcPr>
            <w:tcW w:w="1437" w:type="dxa"/>
            <w:vMerge w:val="restart"/>
          </w:tcPr>
          <w:p w:rsidR="001711ED" w:rsidRDefault="00FF78B4">
            <w:pPr>
              <w:keepNext/>
              <w:widowControl w:val="0"/>
              <w:spacing w:after="0" w:line="240" w:lineRule="auto"/>
              <w:jc w:val="center"/>
              <w:rPr>
                <w:b/>
              </w:rPr>
            </w:pPr>
            <w:r>
              <w:rPr>
                <w:b/>
              </w:rPr>
              <w:t>White Non-Hispanic</w:t>
            </w:r>
          </w:p>
        </w:tc>
      </w:tr>
      <w:tr w:rsidR="001711ED">
        <w:trPr>
          <w:cantSplit/>
        </w:trPr>
        <w:tc>
          <w:tcPr>
            <w:tcW w:w="1572" w:type="dxa"/>
            <w:vMerge/>
          </w:tcPr>
          <w:p w:rsidR="001711ED" w:rsidRDefault="001711ED">
            <w:pPr>
              <w:keepNext/>
              <w:widowControl w:val="0"/>
              <w:spacing w:after="0" w:line="240" w:lineRule="auto"/>
              <w:jc w:val="center"/>
              <w:rPr>
                <w:b/>
              </w:rPr>
            </w:pPr>
          </w:p>
        </w:tc>
        <w:tc>
          <w:tcPr>
            <w:tcW w:w="800" w:type="dxa"/>
            <w:vMerge/>
          </w:tcPr>
          <w:p w:rsidR="001711ED" w:rsidRDefault="001711ED">
            <w:pPr>
              <w:keepNext/>
              <w:widowControl w:val="0"/>
              <w:spacing w:after="0" w:line="240" w:lineRule="auto"/>
              <w:jc w:val="center"/>
              <w:rPr>
                <w:b/>
              </w:rPr>
            </w:pPr>
          </w:p>
        </w:tc>
        <w:tc>
          <w:tcPr>
            <w:tcW w:w="1495" w:type="dxa"/>
          </w:tcPr>
          <w:p w:rsidR="001711ED" w:rsidRDefault="00FF78B4">
            <w:pPr>
              <w:keepNext/>
              <w:widowControl w:val="0"/>
              <w:jc w:val="center"/>
              <w:rPr>
                <w:b/>
              </w:rPr>
            </w:pPr>
            <w:r>
              <w:rPr>
                <w:b/>
              </w:rPr>
              <w:t>Alaskan Native or American Indian</w:t>
            </w:r>
          </w:p>
        </w:tc>
        <w:tc>
          <w:tcPr>
            <w:tcW w:w="1399" w:type="dxa"/>
          </w:tcPr>
          <w:p w:rsidR="001711ED" w:rsidRDefault="00FF78B4">
            <w:pPr>
              <w:keepNext/>
              <w:widowControl w:val="0"/>
              <w:ind w:right="-28"/>
              <w:jc w:val="center"/>
              <w:rPr>
                <w:b/>
              </w:rPr>
            </w:pPr>
            <w:r>
              <w:rPr>
                <w:b/>
              </w:rPr>
              <w:t>Asian or Pacific Islander</w:t>
            </w:r>
          </w:p>
        </w:tc>
        <w:tc>
          <w:tcPr>
            <w:tcW w:w="1437" w:type="dxa"/>
          </w:tcPr>
          <w:p w:rsidR="001711ED" w:rsidRDefault="00FF78B4">
            <w:pPr>
              <w:keepNext/>
              <w:widowControl w:val="0"/>
              <w:jc w:val="center"/>
              <w:rPr>
                <w:b/>
              </w:rPr>
            </w:pPr>
            <w:r>
              <w:rPr>
                <w:b/>
              </w:rPr>
              <w:t>Black Non-Hispanic</w:t>
            </w:r>
          </w:p>
        </w:tc>
        <w:tc>
          <w:tcPr>
            <w:tcW w:w="1436" w:type="dxa"/>
          </w:tcPr>
          <w:p w:rsidR="001711ED" w:rsidRDefault="00FF78B4">
            <w:pPr>
              <w:keepNext/>
              <w:widowControl w:val="0"/>
              <w:jc w:val="center"/>
              <w:rPr>
                <w:b/>
              </w:rPr>
            </w:pPr>
            <w:r>
              <w:rPr>
                <w:b/>
              </w:rPr>
              <w:t>Hispanic</w:t>
            </w:r>
          </w:p>
        </w:tc>
        <w:tc>
          <w:tcPr>
            <w:tcW w:w="1437" w:type="dxa"/>
            <w:vMerge/>
          </w:tcPr>
          <w:p w:rsidR="001711ED" w:rsidRDefault="001711ED">
            <w:pPr>
              <w:keepNext/>
              <w:widowControl w:val="0"/>
              <w:spacing w:after="0" w:line="240" w:lineRule="auto"/>
              <w:jc w:val="center"/>
              <w:rPr>
                <w:b/>
              </w:rPr>
            </w:pPr>
          </w:p>
        </w:tc>
      </w:tr>
      <w:tr w:rsidR="001711ED">
        <w:trPr>
          <w:cantSplit/>
        </w:trPr>
        <w:tc>
          <w:tcPr>
            <w:tcW w:w="1575" w:type="dxa"/>
          </w:tcPr>
          <w:p w:rsidR="001711ED" w:rsidRDefault="00FF78B4">
            <w:pPr>
              <w:spacing w:beforeAutospacing="1" w:afterAutospacing="1"/>
            </w:pPr>
            <w:r>
              <w:rPr>
                <w:color w:val="000000"/>
              </w:rPr>
              <w:t>Number</w:t>
            </w:r>
          </w:p>
        </w:tc>
        <w:tc>
          <w:tcPr>
            <w:tcW w:w="801" w:type="dxa"/>
            <w:vAlign w:val="bottom"/>
          </w:tcPr>
          <w:p w:rsidR="001711ED" w:rsidRDefault="00FF78B4">
            <w:pPr>
              <w:spacing w:beforeAutospacing="1" w:afterAutospacing="1"/>
              <w:jc w:val="right"/>
            </w:pPr>
            <w:r>
              <w:rPr>
                <w:color w:val="000000"/>
              </w:rPr>
              <w:t>0</w:t>
            </w:r>
          </w:p>
        </w:tc>
        <w:tc>
          <w:tcPr>
            <w:tcW w:w="1497" w:type="dxa"/>
            <w:vAlign w:val="bottom"/>
          </w:tcPr>
          <w:p w:rsidR="001711ED" w:rsidRDefault="00FF78B4">
            <w:pPr>
              <w:spacing w:beforeAutospacing="1" w:afterAutospacing="1"/>
              <w:jc w:val="right"/>
            </w:pPr>
            <w:r>
              <w:rPr>
                <w:color w:val="000000"/>
              </w:rPr>
              <w:t>0</w:t>
            </w:r>
          </w:p>
        </w:tc>
        <w:tc>
          <w:tcPr>
            <w:tcW w:w="1401" w:type="dxa"/>
            <w:vAlign w:val="bottom"/>
          </w:tcPr>
          <w:p w:rsidR="001711ED" w:rsidRDefault="00FF78B4">
            <w:pPr>
              <w:spacing w:beforeAutospacing="1" w:afterAutospacing="1"/>
              <w:jc w:val="right"/>
            </w:pPr>
            <w:r>
              <w:rPr>
                <w:color w:val="000000"/>
              </w:rPr>
              <w:t>0</w:t>
            </w:r>
          </w:p>
        </w:tc>
        <w:tc>
          <w:tcPr>
            <w:tcW w:w="1439" w:type="dxa"/>
            <w:vAlign w:val="bottom"/>
          </w:tcPr>
          <w:p w:rsidR="001711ED" w:rsidRDefault="00FF78B4">
            <w:pPr>
              <w:spacing w:beforeAutospacing="1" w:afterAutospacing="1"/>
              <w:jc w:val="right"/>
            </w:pPr>
            <w:r>
              <w:rPr>
                <w:color w:val="000000"/>
              </w:rPr>
              <w:t>0</w:t>
            </w:r>
          </w:p>
        </w:tc>
        <w:tc>
          <w:tcPr>
            <w:tcW w:w="1438" w:type="dxa"/>
            <w:vAlign w:val="bottom"/>
          </w:tcPr>
          <w:p w:rsidR="001711ED" w:rsidRDefault="00FF78B4">
            <w:pPr>
              <w:spacing w:beforeAutospacing="1" w:afterAutospacing="1"/>
              <w:jc w:val="right"/>
            </w:pPr>
            <w:r>
              <w:rPr>
                <w:color w:val="000000"/>
              </w:rPr>
              <w:t>0</w:t>
            </w:r>
          </w:p>
        </w:tc>
        <w:tc>
          <w:tcPr>
            <w:tcW w:w="1439" w:type="dxa"/>
            <w:vAlign w:val="bottom"/>
          </w:tcPr>
          <w:p w:rsidR="001711ED" w:rsidRDefault="00FF78B4">
            <w:pPr>
              <w:spacing w:beforeAutospacing="1" w:afterAutospacing="1"/>
              <w:jc w:val="right"/>
            </w:pPr>
            <w:r>
              <w:rPr>
                <w:color w:val="000000"/>
              </w:rPr>
              <w:t>0</w:t>
            </w:r>
          </w:p>
        </w:tc>
      </w:tr>
      <w:tr w:rsidR="001711ED">
        <w:trPr>
          <w:cantSplit/>
        </w:trPr>
        <w:tc>
          <w:tcPr>
            <w:tcW w:w="1575" w:type="dxa"/>
          </w:tcPr>
          <w:p w:rsidR="001711ED" w:rsidRDefault="00FF78B4">
            <w:pPr>
              <w:spacing w:beforeAutospacing="1" w:afterAutospacing="1"/>
            </w:pPr>
            <w:r>
              <w:rPr>
                <w:color w:val="000000"/>
              </w:rPr>
              <w:t>Cost</w:t>
            </w:r>
          </w:p>
        </w:tc>
        <w:tc>
          <w:tcPr>
            <w:tcW w:w="801" w:type="dxa"/>
            <w:vAlign w:val="bottom"/>
          </w:tcPr>
          <w:p w:rsidR="001711ED" w:rsidRDefault="00FF78B4">
            <w:pPr>
              <w:spacing w:beforeAutospacing="1" w:afterAutospacing="1"/>
              <w:jc w:val="right"/>
            </w:pPr>
            <w:r>
              <w:rPr>
                <w:color w:val="000000"/>
              </w:rPr>
              <w:t>0</w:t>
            </w:r>
          </w:p>
        </w:tc>
        <w:tc>
          <w:tcPr>
            <w:tcW w:w="1497" w:type="dxa"/>
            <w:vAlign w:val="bottom"/>
          </w:tcPr>
          <w:p w:rsidR="001711ED" w:rsidRDefault="00FF78B4">
            <w:pPr>
              <w:spacing w:beforeAutospacing="1" w:afterAutospacing="1"/>
              <w:jc w:val="right"/>
            </w:pPr>
            <w:r>
              <w:rPr>
                <w:color w:val="000000"/>
              </w:rPr>
              <w:t>0</w:t>
            </w:r>
          </w:p>
        </w:tc>
        <w:tc>
          <w:tcPr>
            <w:tcW w:w="1401" w:type="dxa"/>
            <w:vAlign w:val="bottom"/>
          </w:tcPr>
          <w:p w:rsidR="001711ED" w:rsidRDefault="00FF78B4">
            <w:pPr>
              <w:spacing w:beforeAutospacing="1" w:afterAutospacing="1"/>
              <w:jc w:val="right"/>
            </w:pPr>
            <w:r>
              <w:rPr>
                <w:color w:val="000000"/>
              </w:rPr>
              <w:t>0</w:t>
            </w:r>
          </w:p>
        </w:tc>
        <w:tc>
          <w:tcPr>
            <w:tcW w:w="1439" w:type="dxa"/>
            <w:vAlign w:val="bottom"/>
          </w:tcPr>
          <w:p w:rsidR="001711ED" w:rsidRDefault="00FF78B4">
            <w:pPr>
              <w:spacing w:beforeAutospacing="1" w:afterAutospacing="1"/>
              <w:jc w:val="right"/>
            </w:pPr>
            <w:r>
              <w:rPr>
                <w:color w:val="000000"/>
              </w:rPr>
              <w:t>0</w:t>
            </w:r>
          </w:p>
        </w:tc>
        <w:tc>
          <w:tcPr>
            <w:tcW w:w="1438" w:type="dxa"/>
            <w:vAlign w:val="bottom"/>
          </w:tcPr>
          <w:p w:rsidR="001711ED" w:rsidRDefault="00FF78B4">
            <w:pPr>
              <w:spacing w:beforeAutospacing="1" w:afterAutospacing="1"/>
              <w:jc w:val="right"/>
            </w:pPr>
            <w:r>
              <w:rPr>
                <w:color w:val="000000"/>
              </w:rPr>
              <w:t>0</w:t>
            </w:r>
          </w:p>
        </w:tc>
        <w:tc>
          <w:tcPr>
            <w:tcW w:w="1439" w:type="dxa"/>
            <w:vAlign w:val="bottom"/>
          </w:tcPr>
          <w:p w:rsidR="001711ED" w:rsidRDefault="00FF78B4">
            <w:pPr>
              <w:spacing w:beforeAutospacing="1" w:afterAutospacing="1"/>
              <w:jc w:val="right"/>
            </w:pPr>
            <w:r>
              <w:rPr>
                <w:color w:val="000000"/>
              </w:rPr>
              <w:t>0</w:t>
            </w:r>
          </w:p>
        </w:tc>
      </w:tr>
    </w:tbl>
    <w:p w:rsidR="001711ED" w:rsidRDefault="00FF78B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51C28">
        <w:rPr>
          <w:rFonts w:asciiTheme="minorHAnsi" w:hAnsiTheme="minorHAnsi"/>
          <w:noProof/>
        </w:rPr>
        <w:t>10</w:t>
      </w:r>
      <w:r>
        <w:rPr>
          <w:rFonts w:asciiTheme="minorHAnsi" w:hAnsiTheme="minorHAnsi"/>
        </w:rPr>
        <w:fldChar w:fldCharType="end"/>
      </w:r>
      <w:r>
        <w:rPr>
          <w:rFonts w:asciiTheme="minorHAnsi" w:hAnsiTheme="minorHAnsi"/>
        </w:rPr>
        <w:t xml:space="preserve"> – Relocation and Real Property Acquisition</w:t>
      </w:r>
    </w:p>
    <w:p w:rsidR="001711ED" w:rsidRDefault="001711ED">
      <w:pPr>
        <w:spacing w:after="0" w:line="240" w:lineRule="auto"/>
        <w:rPr>
          <w:b/>
        </w:rPr>
      </w:pPr>
    </w:p>
    <w:p w:rsidR="001711ED" w:rsidRDefault="001711ED">
      <w:pPr>
        <w:spacing w:after="0" w:line="240" w:lineRule="auto"/>
        <w:rPr>
          <w:b/>
        </w:rPr>
      </w:pPr>
    </w:p>
    <w:p w:rsidR="001711ED" w:rsidRDefault="001711ED">
      <w:pPr>
        <w:widowControl w:val="0"/>
        <w:spacing w:after="0" w:line="240" w:lineRule="auto"/>
        <w:rPr>
          <w:sz w:val="24"/>
          <w:szCs w:val="24"/>
        </w:rPr>
      </w:pPr>
    </w:p>
    <w:p w:rsidR="001711ED" w:rsidRDefault="001711ED">
      <w:pPr>
        <w:spacing w:after="0" w:line="240" w:lineRule="auto"/>
      </w:pPr>
      <w:bookmarkStart w:id="2" w:name="_Toc309810475"/>
    </w:p>
    <w:p w:rsidR="001711ED" w:rsidRDefault="001711ED">
      <w:pPr>
        <w:sectPr w:rsidR="001711ED">
          <w:pgSz w:w="12240" w:h="15840" w:code="1"/>
          <w:pgMar w:top="1440" w:right="1440" w:bottom="1440" w:left="1440" w:header="720" w:footer="720" w:gutter="0"/>
          <w:cols w:space="720"/>
          <w:docGrid w:linePitch="360"/>
        </w:sectPr>
      </w:pPr>
    </w:p>
    <w:p w:rsidR="001711ED" w:rsidRDefault="00FF78B4">
      <w:pPr>
        <w:pStyle w:val="Heading2"/>
        <w:rPr>
          <w:rFonts w:ascii="Calibri" w:hAnsi="Calibri"/>
          <w:i w:val="0"/>
        </w:rPr>
      </w:pPr>
      <w:r>
        <w:rPr>
          <w:rFonts w:ascii="Calibri" w:hAnsi="Calibri"/>
          <w:i w:val="0"/>
        </w:rPr>
        <w:lastRenderedPageBreak/>
        <w:t>CR-20 - Affordable Housing 91.520(b)</w:t>
      </w:r>
    </w:p>
    <w:p w:rsidR="001711ED" w:rsidRDefault="00FF78B4">
      <w:pPr>
        <w:keepNext/>
        <w:widowControl w:val="0"/>
        <w:spacing w:after="0" w:line="240" w:lineRule="auto"/>
        <w:rPr>
          <w:b/>
          <w:sz w:val="24"/>
          <w:szCs w:val="24"/>
        </w:rPr>
      </w:pPr>
      <w:r>
        <w:rPr>
          <w:b/>
          <w:sz w:val="24"/>
          <w:szCs w:val="24"/>
        </w:rPr>
        <w:t>Evaluation of the jurisdiction's progress in providing affordable housing, including the number and types of families served, the number of extremely low-income, low-income, moderate-income, and middle-income persons served.</w:t>
      </w:r>
    </w:p>
    <w:p w:rsidR="001711ED" w:rsidRDefault="001711ED">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1711ED">
        <w:trPr>
          <w:cantSplit/>
          <w:tblHeader/>
        </w:trPr>
        <w:tc>
          <w:tcPr>
            <w:tcW w:w="4293" w:type="dxa"/>
          </w:tcPr>
          <w:p w:rsidR="001711ED" w:rsidRDefault="001711ED">
            <w:pPr>
              <w:pStyle w:val="Caption"/>
              <w:keepNext/>
              <w:widowControl w:val="0"/>
              <w:jc w:val="center"/>
              <w:rPr>
                <w:rFonts w:ascii="Calibri" w:hAnsi="Calibri"/>
                <w:sz w:val="22"/>
                <w:szCs w:val="22"/>
              </w:rPr>
            </w:pPr>
          </w:p>
        </w:tc>
        <w:tc>
          <w:tcPr>
            <w:tcW w:w="2648" w:type="dxa"/>
          </w:tcPr>
          <w:p w:rsidR="001711ED" w:rsidRDefault="00FF78B4">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1711ED" w:rsidRDefault="00FF78B4">
            <w:pPr>
              <w:pStyle w:val="Caption"/>
              <w:keepNext/>
              <w:widowControl w:val="0"/>
              <w:jc w:val="center"/>
              <w:rPr>
                <w:rFonts w:ascii="Calibri" w:hAnsi="Calibri"/>
                <w:sz w:val="22"/>
                <w:szCs w:val="22"/>
              </w:rPr>
            </w:pPr>
            <w:r>
              <w:rPr>
                <w:rFonts w:ascii="Calibri" w:hAnsi="Calibri"/>
                <w:sz w:val="22"/>
                <w:szCs w:val="22"/>
              </w:rPr>
              <w:t>Actual</w:t>
            </w:r>
          </w:p>
        </w:tc>
      </w:tr>
      <w:tr w:rsidR="001711ED">
        <w:trPr>
          <w:cantSplit/>
        </w:trPr>
        <w:tc>
          <w:tcPr>
            <w:tcW w:w="4293" w:type="dxa"/>
            <w:vAlign w:val="bottom"/>
          </w:tcPr>
          <w:p w:rsidR="001711ED" w:rsidRDefault="00FF78B4">
            <w:pPr>
              <w:spacing w:beforeAutospacing="1" w:afterAutospacing="1"/>
            </w:pPr>
            <w:r>
              <w:rPr>
                <w:color w:val="000000"/>
              </w:rPr>
              <w:t>Number of Homeless households to be provided affordable housing units</w:t>
            </w:r>
          </w:p>
        </w:tc>
        <w:tc>
          <w:tcPr>
            <w:tcW w:w="2648" w:type="dxa"/>
            <w:vAlign w:val="bottom"/>
          </w:tcPr>
          <w:p w:rsidR="001711ED" w:rsidRDefault="00FF78B4">
            <w:pPr>
              <w:spacing w:beforeAutospacing="1" w:afterAutospacing="1"/>
              <w:jc w:val="right"/>
            </w:pPr>
            <w:r>
              <w:rPr>
                <w:color w:val="000000"/>
              </w:rPr>
              <w:t>242</w:t>
            </w:r>
          </w:p>
        </w:tc>
        <w:tc>
          <w:tcPr>
            <w:tcW w:w="2649" w:type="dxa"/>
            <w:vAlign w:val="bottom"/>
          </w:tcPr>
          <w:p w:rsidR="001711ED" w:rsidRDefault="00FF78B4">
            <w:pPr>
              <w:spacing w:beforeAutospacing="1" w:afterAutospacing="1"/>
              <w:jc w:val="right"/>
            </w:pPr>
            <w:r>
              <w:rPr>
                <w:color w:val="000000"/>
              </w:rPr>
              <w:t>0</w:t>
            </w:r>
          </w:p>
        </w:tc>
      </w:tr>
      <w:tr w:rsidR="001711ED">
        <w:trPr>
          <w:cantSplit/>
        </w:trPr>
        <w:tc>
          <w:tcPr>
            <w:tcW w:w="4293" w:type="dxa"/>
            <w:vAlign w:val="bottom"/>
          </w:tcPr>
          <w:p w:rsidR="001711ED" w:rsidRDefault="00FF78B4">
            <w:pPr>
              <w:spacing w:beforeAutospacing="1" w:afterAutospacing="1"/>
            </w:pPr>
            <w:r>
              <w:rPr>
                <w:color w:val="000000"/>
              </w:rPr>
              <w:t>Number of Non-Homeless households to be provided affordable housing units</w:t>
            </w:r>
          </w:p>
        </w:tc>
        <w:tc>
          <w:tcPr>
            <w:tcW w:w="2648" w:type="dxa"/>
            <w:vAlign w:val="bottom"/>
          </w:tcPr>
          <w:p w:rsidR="001711ED" w:rsidRDefault="00FF78B4">
            <w:pPr>
              <w:spacing w:beforeAutospacing="1" w:afterAutospacing="1"/>
              <w:jc w:val="right"/>
            </w:pPr>
            <w:r>
              <w:rPr>
                <w:color w:val="000000"/>
              </w:rPr>
              <w:t>141</w:t>
            </w:r>
          </w:p>
        </w:tc>
        <w:tc>
          <w:tcPr>
            <w:tcW w:w="2649" w:type="dxa"/>
            <w:vAlign w:val="bottom"/>
          </w:tcPr>
          <w:p w:rsidR="001711ED" w:rsidRDefault="00FF78B4">
            <w:pPr>
              <w:spacing w:beforeAutospacing="1" w:afterAutospacing="1"/>
              <w:jc w:val="right"/>
            </w:pPr>
            <w:r>
              <w:rPr>
                <w:color w:val="000000"/>
              </w:rPr>
              <w:t>0</w:t>
            </w:r>
          </w:p>
        </w:tc>
      </w:tr>
      <w:tr w:rsidR="001711ED">
        <w:trPr>
          <w:cantSplit/>
        </w:trPr>
        <w:tc>
          <w:tcPr>
            <w:tcW w:w="4293" w:type="dxa"/>
            <w:vAlign w:val="bottom"/>
          </w:tcPr>
          <w:p w:rsidR="001711ED" w:rsidRDefault="00FF78B4">
            <w:pPr>
              <w:spacing w:beforeAutospacing="1" w:afterAutospacing="1"/>
            </w:pPr>
            <w:r>
              <w:rPr>
                <w:color w:val="000000"/>
              </w:rPr>
              <w:t>Number of Special-Needs households to be provided affordable housing units</w:t>
            </w:r>
          </w:p>
        </w:tc>
        <w:tc>
          <w:tcPr>
            <w:tcW w:w="2648" w:type="dxa"/>
            <w:vAlign w:val="bottom"/>
          </w:tcPr>
          <w:p w:rsidR="001711ED" w:rsidRDefault="00FF78B4">
            <w:pPr>
              <w:spacing w:beforeAutospacing="1" w:afterAutospacing="1"/>
              <w:jc w:val="right"/>
            </w:pPr>
            <w:r>
              <w:rPr>
                <w:color w:val="000000"/>
              </w:rPr>
              <w:t>6</w:t>
            </w:r>
          </w:p>
        </w:tc>
        <w:tc>
          <w:tcPr>
            <w:tcW w:w="2649" w:type="dxa"/>
            <w:vAlign w:val="bottom"/>
          </w:tcPr>
          <w:p w:rsidR="001711ED" w:rsidRDefault="00FF78B4">
            <w:pPr>
              <w:spacing w:beforeAutospacing="1" w:afterAutospacing="1"/>
              <w:jc w:val="right"/>
            </w:pPr>
            <w:r>
              <w:rPr>
                <w:color w:val="000000"/>
              </w:rPr>
              <w:t>0</w:t>
            </w:r>
          </w:p>
        </w:tc>
      </w:tr>
      <w:tr w:rsidR="001711ED">
        <w:trPr>
          <w:cantSplit/>
        </w:trPr>
        <w:tc>
          <w:tcPr>
            <w:tcW w:w="4293" w:type="dxa"/>
          </w:tcPr>
          <w:p w:rsidR="001711ED" w:rsidRDefault="00FF78B4">
            <w:pPr>
              <w:spacing w:beforeAutospacing="1" w:afterAutospacing="1"/>
            </w:pPr>
            <w:r>
              <w:rPr>
                <w:b/>
                <w:color w:val="000000"/>
              </w:rPr>
              <w:t>Total</w:t>
            </w:r>
          </w:p>
        </w:tc>
        <w:tc>
          <w:tcPr>
            <w:tcW w:w="2648" w:type="dxa"/>
            <w:vAlign w:val="bottom"/>
          </w:tcPr>
          <w:p w:rsidR="001711ED" w:rsidRDefault="00FF78B4">
            <w:pPr>
              <w:spacing w:beforeAutospacing="1" w:afterAutospacing="1"/>
              <w:jc w:val="right"/>
            </w:pPr>
            <w:r>
              <w:rPr>
                <w:b/>
                <w:color w:val="000000"/>
              </w:rPr>
              <w:t>389</w:t>
            </w:r>
          </w:p>
        </w:tc>
        <w:tc>
          <w:tcPr>
            <w:tcW w:w="2649" w:type="dxa"/>
            <w:vAlign w:val="bottom"/>
          </w:tcPr>
          <w:p w:rsidR="001711ED" w:rsidRDefault="00FF78B4">
            <w:pPr>
              <w:spacing w:beforeAutospacing="1" w:afterAutospacing="1"/>
              <w:jc w:val="right"/>
            </w:pPr>
            <w:r>
              <w:rPr>
                <w:b/>
                <w:color w:val="000000"/>
              </w:rPr>
              <w:t>0</w:t>
            </w:r>
          </w:p>
        </w:tc>
      </w:tr>
    </w:tbl>
    <w:p w:rsidR="001711ED" w:rsidRDefault="00FF78B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51C28">
        <w:rPr>
          <w:rFonts w:asciiTheme="minorHAnsi" w:hAnsiTheme="minorHAnsi"/>
          <w:noProof/>
        </w:rPr>
        <w:t>11</w:t>
      </w:r>
      <w:r>
        <w:rPr>
          <w:rFonts w:asciiTheme="minorHAnsi" w:hAnsiTheme="minorHAnsi"/>
        </w:rPr>
        <w:fldChar w:fldCharType="end"/>
      </w:r>
      <w:r>
        <w:rPr>
          <w:rFonts w:asciiTheme="minorHAnsi" w:hAnsiTheme="minorHAnsi"/>
        </w:rPr>
        <w:t xml:space="preserve"> – Number of Households</w:t>
      </w:r>
    </w:p>
    <w:p w:rsidR="001711ED" w:rsidRDefault="001711ED"/>
    <w:p w:rsidR="001711ED" w:rsidRDefault="001711ED"/>
    <w:p w:rsidR="001711ED" w:rsidRDefault="001711ED">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1711ED">
        <w:trPr>
          <w:cantSplit/>
          <w:tblHeader/>
        </w:trPr>
        <w:tc>
          <w:tcPr>
            <w:tcW w:w="4293" w:type="dxa"/>
          </w:tcPr>
          <w:p w:rsidR="001711ED" w:rsidRDefault="001711ED">
            <w:pPr>
              <w:pStyle w:val="Caption"/>
              <w:keepNext/>
              <w:widowControl w:val="0"/>
              <w:jc w:val="center"/>
              <w:rPr>
                <w:rFonts w:ascii="Calibri" w:hAnsi="Calibri"/>
                <w:sz w:val="22"/>
                <w:szCs w:val="22"/>
              </w:rPr>
            </w:pPr>
          </w:p>
        </w:tc>
        <w:tc>
          <w:tcPr>
            <w:tcW w:w="2648" w:type="dxa"/>
          </w:tcPr>
          <w:p w:rsidR="001711ED" w:rsidRDefault="00FF78B4">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1711ED" w:rsidRDefault="00FF78B4">
            <w:pPr>
              <w:pStyle w:val="Caption"/>
              <w:keepNext/>
              <w:widowControl w:val="0"/>
              <w:jc w:val="center"/>
              <w:rPr>
                <w:rFonts w:ascii="Calibri" w:hAnsi="Calibri"/>
                <w:sz w:val="22"/>
                <w:szCs w:val="22"/>
              </w:rPr>
            </w:pPr>
            <w:r>
              <w:rPr>
                <w:rFonts w:ascii="Calibri" w:hAnsi="Calibri"/>
                <w:sz w:val="22"/>
                <w:szCs w:val="22"/>
              </w:rPr>
              <w:t>Actual</w:t>
            </w:r>
          </w:p>
        </w:tc>
      </w:tr>
      <w:tr w:rsidR="001711ED">
        <w:trPr>
          <w:cantSplit/>
        </w:trPr>
        <w:tc>
          <w:tcPr>
            <w:tcW w:w="4293" w:type="dxa"/>
            <w:vAlign w:val="bottom"/>
          </w:tcPr>
          <w:p w:rsidR="001711ED" w:rsidRDefault="00FF78B4">
            <w:pPr>
              <w:spacing w:beforeAutospacing="1" w:afterAutospacing="1"/>
            </w:pPr>
            <w:r>
              <w:rPr>
                <w:color w:val="000000"/>
              </w:rPr>
              <w:t>Number of households supported through Rental Assistance</w:t>
            </w:r>
          </w:p>
        </w:tc>
        <w:tc>
          <w:tcPr>
            <w:tcW w:w="2648" w:type="dxa"/>
            <w:vAlign w:val="bottom"/>
          </w:tcPr>
          <w:p w:rsidR="001711ED" w:rsidRDefault="00FF78B4">
            <w:pPr>
              <w:spacing w:beforeAutospacing="1" w:afterAutospacing="1"/>
              <w:jc w:val="right"/>
            </w:pPr>
            <w:r>
              <w:rPr>
                <w:color w:val="000000"/>
              </w:rPr>
              <w:t>25</w:t>
            </w:r>
          </w:p>
        </w:tc>
        <w:tc>
          <w:tcPr>
            <w:tcW w:w="2649" w:type="dxa"/>
            <w:vAlign w:val="bottom"/>
          </w:tcPr>
          <w:p w:rsidR="001711ED" w:rsidRDefault="00FF78B4">
            <w:pPr>
              <w:spacing w:beforeAutospacing="1" w:afterAutospacing="1"/>
              <w:jc w:val="right"/>
            </w:pPr>
            <w:r>
              <w:rPr>
                <w:color w:val="000000"/>
              </w:rPr>
              <w:t>5</w:t>
            </w:r>
          </w:p>
        </w:tc>
      </w:tr>
      <w:tr w:rsidR="001711ED">
        <w:trPr>
          <w:cantSplit/>
        </w:trPr>
        <w:tc>
          <w:tcPr>
            <w:tcW w:w="4293" w:type="dxa"/>
            <w:vAlign w:val="bottom"/>
          </w:tcPr>
          <w:p w:rsidR="001711ED" w:rsidRDefault="00FF78B4">
            <w:pPr>
              <w:spacing w:beforeAutospacing="1" w:afterAutospacing="1"/>
            </w:pPr>
            <w:r>
              <w:rPr>
                <w:color w:val="000000"/>
              </w:rPr>
              <w:t>Number of households supported through The Production of New Units</w:t>
            </w:r>
          </w:p>
        </w:tc>
        <w:tc>
          <w:tcPr>
            <w:tcW w:w="2648" w:type="dxa"/>
            <w:vAlign w:val="bottom"/>
          </w:tcPr>
          <w:p w:rsidR="001711ED" w:rsidRDefault="00FF78B4">
            <w:pPr>
              <w:spacing w:beforeAutospacing="1" w:afterAutospacing="1"/>
              <w:jc w:val="right"/>
            </w:pPr>
            <w:r>
              <w:rPr>
                <w:color w:val="000000"/>
              </w:rPr>
              <w:t>8</w:t>
            </w:r>
          </w:p>
        </w:tc>
        <w:tc>
          <w:tcPr>
            <w:tcW w:w="2649" w:type="dxa"/>
            <w:vAlign w:val="bottom"/>
          </w:tcPr>
          <w:p w:rsidR="001711ED" w:rsidRDefault="00FF78B4">
            <w:pPr>
              <w:spacing w:beforeAutospacing="1" w:afterAutospacing="1"/>
              <w:jc w:val="right"/>
            </w:pPr>
            <w:r>
              <w:rPr>
                <w:color w:val="000000"/>
              </w:rPr>
              <w:t>5</w:t>
            </w:r>
          </w:p>
        </w:tc>
      </w:tr>
      <w:tr w:rsidR="001711ED">
        <w:trPr>
          <w:cantSplit/>
        </w:trPr>
        <w:tc>
          <w:tcPr>
            <w:tcW w:w="4293" w:type="dxa"/>
            <w:vAlign w:val="bottom"/>
          </w:tcPr>
          <w:p w:rsidR="001711ED" w:rsidRDefault="00FF78B4">
            <w:pPr>
              <w:spacing w:beforeAutospacing="1" w:afterAutospacing="1"/>
            </w:pPr>
            <w:r>
              <w:rPr>
                <w:color w:val="000000"/>
              </w:rPr>
              <w:t>Number of households supported through Rehab of Existing Units</w:t>
            </w:r>
          </w:p>
        </w:tc>
        <w:tc>
          <w:tcPr>
            <w:tcW w:w="2648" w:type="dxa"/>
            <w:vAlign w:val="bottom"/>
          </w:tcPr>
          <w:p w:rsidR="001711ED" w:rsidRDefault="00FF78B4">
            <w:pPr>
              <w:spacing w:beforeAutospacing="1" w:afterAutospacing="1"/>
              <w:jc w:val="right"/>
            </w:pPr>
            <w:r>
              <w:rPr>
                <w:color w:val="000000"/>
              </w:rPr>
              <w:t>12</w:t>
            </w:r>
          </w:p>
        </w:tc>
        <w:tc>
          <w:tcPr>
            <w:tcW w:w="2649" w:type="dxa"/>
            <w:vAlign w:val="bottom"/>
          </w:tcPr>
          <w:p w:rsidR="001711ED" w:rsidRDefault="00FF78B4">
            <w:pPr>
              <w:spacing w:beforeAutospacing="1" w:afterAutospacing="1"/>
              <w:jc w:val="right"/>
            </w:pPr>
            <w:r>
              <w:rPr>
                <w:color w:val="000000"/>
              </w:rPr>
              <w:t>11</w:t>
            </w:r>
          </w:p>
        </w:tc>
      </w:tr>
      <w:tr w:rsidR="001711ED">
        <w:trPr>
          <w:cantSplit/>
        </w:trPr>
        <w:tc>
          <w:tcPr>
            <w:tcW w:w="4293" w:type="dxa"/>
            <w:vAlign w:val="bottom"/>
          </w:tcPr>
          <w:p w:rsidR="001711ED" w:rsidRDefault="00FF78B4">
            <w:pPr>
              <w:spacing w:beforeAutospacing="1" w:afterAutospacing="1"/>
            </w:pPr>
            <w:r>
              <w:rPr>
                <w:color w:val="000000"/>
              </w:rPr>
              <w:t>Number of households supported through Acquisition of Existing Units</w:t>
            </w:r>
          </w:p>
        </w:tc>
        <w:tc>
          <w:tcPr>
            <w:tcW w:w="2648" w:type="dxa"/>
            <w:vAlign w:val="bottom"/>
          </w:tcPr>
          <w:p w:rsidR="001711ED" w:rsidRDefault="00FF78B4">
            <w:pPr>
              <w:spacing w:beforeAutospacing="1" w:afterAutospacing="1"/>
              <w:jc w:val="right"/>
            </w:pPr>
            <w:r>
              <w:rPr>
                <w:color w:val="000000"/>
              </w:rPr>
              <w:t>34</w:t>
            </w:r>
          </w:p>
        </w:tc>
        <w:tc>
          <w:tcPr>
            <w:tcW w:w="2649" w:type="dxa"/>
            <w:vAlign w:val="bottom"/>
          </w:tcPr>
          <w:p w:rsidR="001711ED" w:rsidRDefault="00FF78B4">
            <w:pPr>
              <w:spacing w:beforeAutospacing="1" w:afterAutospacing="1"/>
              <w:jc w:val="right"/>
            </w:pPr>
            <w:r>
              <w:rPr>
                <w:color w:val="000000"/>
              </w:rPr>
              <w:t>0</w:t>
            </w:r>
          </w:p>
        </w:tc>
      </w:tr>
      <w:tr w:rsidR="001711ED">
        <w:trPr>
          <w:cantSplit/>
        </w:trPr>
        <w:tc>
          <w:tcPr>
            <w:tcW w:w="4293" w:type="dxa"/>
          </w:tcPr>
          <w:p w:rsidR="001711ED" w:rsidRDefault="00FF78B4">
            <w:pPr>
              <w:spacing w:beforeAutospacing="1" w:afterAutospacing="1"/>
            </w:pPr>
            <w:r>
              <w:rPr>
                <w:b/>
                <w:color w:val="000000"/>
              </w:rPr>
              <w:t>Total</w:t>
            </w:r>
          </w:p>
        </w:tc>
        <w:tc>
          <w:tcPr>
            <w:tcW w:w="2648" w:type="dxa"/>
            <w:vAlign w:val="bottom"/>
          </w:tcPr>
          <w:p w:rsidR="001711ED" w:rsidRDefault="00FF78B4">
            <w:pPr>
              <w:spacing w:beforeAutospacing="1" w:afterAutospacing="1"/>
              <w:jc w:val="right"/>
            </w:pPr>
            <w:r>
              <w:rPr>
                <w:b/>
                <w:color w:val="000000"/>
              </w:rPr>
              <w:t>79</w:t>
            </w:r>
          </w:p>
        </w:tc>
        <w:tc>
          <w:tcPr>
            <w:tcW w:w="2649" w:type="dxa"/>
            <w:vAlign w:val="bottom"/>
          </w:tcPr>
          <w:p w:rsidR="001711ED" w:rsidRDefault="00FF78B4">
            <w:pPr>
              <w:spacing w:beforeAutospacing="1" w:afterAutospacing="1"/>
              <w:jc w:val="right"/>
            </w:pPr>
            <w:r>
              <w:rPr>
                <w:b/>
                <w:color w:val="000000"/>
              </w:rPr>
              <w:t>21</w:t>
            </w:r>
          </w:p>
        </w:tc>
      </w:tr>
    </w:tbl>
    <w:p w:rsidR="001711ED" w:rsidRDefault="00FF78B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51C28">
        <w:rPr>
          <w:rFonts w:asciiTheme="minorHAnsi" w:hAnsiTheme="minorHAnsi"/>
          <w:noProof/>
        </w:rPr>
        <w:t>12</w:t>
      </w:r>
      <w:r>
        <w:rPr>
          <w:rFonts w:asciiTheme="minorHAnsi" w:hAnsiTheme="minorHAnsi"/>
        </w:rPr>
        <w:fldChar w:fldCharType="end"/>
      </w:r>
      <w:r>
        <w:rPr>
          <w:rFonts w:asciiTheme="minorHAnsi" w:hAnsiTheme="minorHAnsi"/>
        </w:rPr>
        <w:t xml:space="preserve"> – Number of Households Supported</w:t>
      </w:r>
    </w:p>
    <w:p w:rsidR="001711ED" w:rsidRDefault="001711ED">
      <w:pPr>
        <w:rPr>
          <w:rFonts w:cs="Arial"/>
        </w:rPr>
      </w:pPr>
    </w:p>
    <w:p w:rsidR="001711ED" w:rsidRDefault="001711ED">
      <w:pPr>
        <w:rPr>
          <w:rFonts w:cs="Arial"/>
        </w:rPr>
      </w:pPr>
    </w:p>
    <w:p w:rsidR="001711ED" w:rsidRDefault="00FF78B4">
      <w:pPr>
        <w:widowControl w:val="0"/>
        <w:spacing w:line="204" w:lineRule="auto"/>
        <w:rPr>
          <w:b/>
          <w:sz w:val="24"/>
          <w:szCs w:val="24"/>
        </w:rPr>
      </w:pPr>
      <w:r>
        <w:rPr>
          <w:b/>
          <w:sz w:val="24"/>
          <w:szCs w:val="24"/>
        </w:rPr>
        <w:t>Discuss the difference between goals and outcomes and problems encountered in meeting these goals.</w:t>
      </w:r>
    </w:p>
    <w:p w:rsidR="001711ED" w:rsidRDefault="00FF78B4">
      <w:pPr>
        <w:spacing w:beforeAutospacing="1" w:afterAutospacing="1"/>
        <w:rPr>
          <w:rFonts w:cs="Arial"/>
        </w:rPr>
      </w:pPr>
      <w:r>
        <w:rPr>
          <w:rFonts w:cs="Arial"/>
        </w:rPr>
        <w:t>Acquisition of existing units was not included as part of the FY2022 Projects.  With the exception of Rental Assistance, all goals were close to the projected number of units.</w:t>
      </w:r>
    </w:p>
    <w:p w:rsidR="001711ED" w:rsidRDefault="00FF78B4">
      <w:pPr>
        <w:widowControl w:val="0"/>
        <w:spacing w:line="204" w:lineRule="auto"/>
        <w:rPr>
          <w:b/>
          <w:sz w:val="24"/>
          <w:szCs w:val="24"/>
        </w:rPr>
      </w:pPr>
      <w:r>
        <w:rPr>
          <w:b/>
          <w:sz w:val="24"/>
          <w:szCs w:val="24"/>
        </w:rPr>
        <w:t>Discuss how these outcomes will impact future annual action plans.</w:t>
      </w:r>
    </w:p>
    <w:p w:rsidR="001711ED" w:rsidRDefault="00FF78B4">
      <w:pPr>
        <w:spacing w:beforeAutospacing="1" w:afterAutospacing="1"/>
        <w:rPr>
          <w:rFonts w:cs="Arial"/>
        </w:rPr>
      </w:pPr>
      <w:r>
        <w:rPr>
          <w:rFonts w:cs="Arial"/>
        </w:rPr>
        <w:lastRenderedPageBreak/>
        <w:t xml:space="preserve">Future action plans will evaluate the current FY2022 program data, funding allocation and input </w:t>
      </w:r>
      <w:proofErr w:type="spellStart"/>
      <w:r>
        <w:rPr>
          <w:rFonts w:cs="Arial"/>
        </w:rPr>
        <w:t>receipved</w:t>
      </w:r>
      <w:proofErr w:type="spellEnd"/>
      <w:r>
        <w:rPr>
          <w:rFonts w:cs="Arial"/>
        </w:rPr>
        <w:t xml:space="preserve"> as part </w:t>
      </w:r>
      <w:proofErr w:type="gramStart"/>
      <w:r>
        <w:rPr>
          <w:rFonts w:cs="Arial"/>
        </w:rPr>
        <w:t>of  citizen</w:t>
      </w:r>
      <w:proofErr w:type="gramEnd"/>
      <w:r>
        <w:rPr>
          <w:rFonts w:cs="Arial"/>
        </w:rPr>
        <w:t xml:space="preserve"> participation, will best determine the projected assistance numbers for each category. </w:t>
      </w:r>
    </w:p>
    <w:p w:rsidR="001711ED" w:rsidRDefault="00FF78B4">
      <w:pPr>
        <w:keepNext/>
        <w:widowControl w:val="0"/>
        <w:spacing w:line="204" w:lineRule="auto"/>
        <w:rPr>
          <w:b/>
          <w:sz w:val="24"/>
          <w:szCs w:val="24"/>
        </w:rPr>
      </w:pPr>
      <w:r>
        <w:rPr>
          <w:b/>
          <w:sz w:val="24"/>
          <w:szCs w:val="24"/>
        </w:rPr>
        <w:t>Include the number of extremely low-income, low-income, and moderate-income persons served by each activity where information on income by family size is required to determine the eligibility of the activity.</w:t>
      </w:r>
    </w:p>
    <w:p w:rsidR="001711ED" w:rsidRDefault="001711ED">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1711ED">
        <w:trPr>
          <w:cantSplit/>
        </w:trPr>
        <w:tc>
          <w:tcPr>
            <w:tcW w:w="4081" w:type="dxa"/>
          </w:tcPr>
          <w:p w:rsidR="001711ED" w:rsidRDefault="00FF78B4">
            <w:pPr>
              <w:keepNext/>
              <w:widowControl w:val="0"/>
              <w:spacing w:after="0" w:line="240" w:lineRule="auto"/>
              <w:jc w:val="center"/>
              <w:rPr>
                <w:b/>
              </w:rPr>
            </w:pPr>
            <w:r>
              <w:rPr>
                <w:b/>
              </w:rPr>
              <w:t>Number  of Households Served</w:t>
            </w:r>
          </w:p>
        </w:tc>
        <w:tc>
          <w:tcPr>
            <w:tcW w:w="1859" w:type="dxa"/>
          </w:tcPr>
          <w:p w:rsidR="001711ED" w:rsidRDefault="00FF78B4">
            <w:pPr>
              <w:keepNext/>
              <w:widowControl w:val="0"/>
              <w:spacing w:after="0" w:line="240" w:lineRule="auto"/>
              <w:jc w:val="center"/>
              <w:rPr>
                <w:b/>
              </w:rPr>
            </w:pPr>
            <w:r>
              <w:rPr>
                <w:b/>
              </w:rPr>
              <w:t>CDBG Actual</w:t>
            </w:r>
          </w:p>
        </w:tc>
        <w:tc>
          <w:tcPr>
            <w:tcW w:w="1915" w:type="dxa"/>
            <w:gridSpan w:val="2"/>
          </w:tcPr>
          <w:p w:rsidR="001711ED" w:rsidRDefault="00FF78B4">
            <w:pPr>
              <w:keepNext/>
              <w:widowControl w:val="0"/>
              <w:spacing w:after="0" w:line="240" w:lineRule="auto"/>
              <w:jc w:val="center"/>
              <w:rPr>
                <w:b/>
              </w:rPr>
            </w:pPr>
            <w:r>
              <w:rPr>
                <w:b/>
              </w:rPr>
              <w:t>HOME Actual</w:t>
            </w:r>
          </w:p>
        </w:tc>
      </w:tr>
      <w:tr w:rsidR="001711ED">
        <w:trPr>
          <w:gridAfter w:val="1"/>
          <w:wAfter w:w="25" w:type="dxa"/>
          <w:cantSplit/>
        </w:trPr>
        <w:tc>
          <w:tcPr>
            <w:tcW w:w="4081" w:type="dxa"/>
            <w:vAlign w:val="bottom"/>
          </w:tcPr>
          <w:p w:rsidR="001711ED" w:rsidRDefault="00FF78B4">
            <w:pPr>
              <w:spacing w:beforeAutospacing="1" w:afterAutospacing="1"/>
            </w:pPr>
            <w:r>
              <w:rPr>
                <w:color w:val="000000"/>
              </w:rPr>
              <w:t>Extremely Low-income</w:t>
            </w:r>
          </w:p>
        </w:tc>
        <w:tc>
          <w:tcPr>
            <w:tcW w:w="1859" w:type="dxa"/>
            <w:vAlign w:val="bottom"/>
          </w:tcPr>
          <w:p w:rsidR="001711ED" w:rsidRDefault="00FF78B4">
            <w:pPr>
              <w:spacing w:beforeAutospacing="1" w:afterAutospacing="1"/>
              <w:jc w:val="right"/>
            </w:pPr>
            <w:r>
              <w:rPr>
                <w:color w:val="000000"/>
              </w:rPr>
              <w:t>0</w:t>
            </w:r>
          </w:p>
        </w:tc>
        <w:tc>
          <w:tcPr>
            <w:tcW w:w="1890" w:type="dxa"/>
            <w:vAlign w:val="bottom"/>
          </w:tcPr>
          <w:p w:rsidR="001711ED" w:rsidRDefault="00FF78B4">
            <w:pPr>
              <w:spacing w:beforeAutospacing="1" w:afterAutospacing="1"/>
              <w:jc w:val="right"/>
            </w:pPr>
            <w:r>
              <w:rPr>
                <w:color w:val="000000"/>
              </w:rPr>
              <w:t>0</w:t>
            </w:r>
          </w:p>
        </w:tc>
      </w:tr>
      <w:tr w:rsidR="001711ED">
        <w:trPr>
          <w:gridAfter w:val="1"/>
          <w:wAfter w:w="25" w:type="dxa"/>
          <w:cantSplit/>
        </w:trPr>
        <w:tc>
          <w:tcPr>
            <w:tcW w:w="4081" w:type="dxa"/>
            <w:vAlign w:val="bottom"/>
          </w:tcPr>
          <w:p w:rsidR="001711ED" w:rsidRDefault="00FF78B4">
            <w:pPr>
              <w:spacing w:beforeAutospacing="1" w:afterAutospacing="1"/>
            </w:pPr>
            <w:r>
              <w:rPr>
                <w:color w:val="000000"/>
              </w:rPr>
              <w:t>Low-income</w:t>
            </w:r>
          </w:p>
        </w:tc>
        <w:tc>
          <w:tcPr>
            <w:tcW w:w="1859" w:type="dxa"/>
            <w:vAlign w:val="bottom"/>
          </w:tcPr>
          <w:p w:rsidR="001711ED" w:rsidRDefault="00FF78B4">
            <w:pPr>
              <w:spacing w:beforeAutospacing="1" w:afterAutospacing="1"/>
              <w:jc w:val="right"/>
            </w:pPr>
            <w:r>
              <w:rPr>
                <w:color w:val="000000"/>
              </w:rPr>
              <w:t>0</w:t>
            </w:r>
          </w:p>
        </w:tc>
        <w:tc>
          <w:tcPr>
            <w:tcW w:w="1890" w:type="dxa"/>
            <w:vAlign w:val="bottom"/>
          </w:tcPr>
          <w:p w:rsidR="001711ED" w:rsidRDefault="00FF78B4">
            <w:pPr>
              <w:spacing w:beforeAutospacing="1" w:afterAutospacing="1"/>
              <w:jc w:val="right"/>
            </w:pPr>
            <w:r>
              <w:rPr>
                <w:color w:val="000000"/>
              </w:rPr>
              <w:t>0</w:t>
            </w:r>
          </w:p>
        </w:tc>
      </w:tr>
      <w:tr w:rsidR="001711ED">
        <w:trPr>
          <w:gridAfter w:val="1"/>
          <w:wAfter w:w="25" w:type="dxa"/>
          <w:cantSplit/>
        </w:trPr>
        <w:tc>
          <w:tcPr>
            <w:tcW w:w="4081" w:type="dxa"/>
            <w:vAlign w:val="bottom"/>
          </w:tcPr>
          <w:p w:rsidR="001711ED" w:rsidRDefault="00FF78B4">
            <w:pPr>
              <w:spacing w:beforeAutospacing="1" w:afterAutospacing="1"/>
            </w:pPr>
            <w:r>
              <w:rPr>
                <w:color w:val="000000"/>
              </w:rPr>
              <w:t>Moderate-income</w:t>
            </w:r>
          </w:p>
        </w:tc>
        <w:tc>
          <w:tcPr>
            <w:tcW w:w="1859" w:type="dxa"/>
            <w:vAlign w:val="bottom"/>
          </w:tcPr>
          <w:p w:rsidR="001711ED" w:rsidRDefault="00FF78B4">
            <w:pPr>
              <w:spacing w:beforeAutospacing="1" w:afterAutospacing="1"/>
              <w:jc w:val="right"/>
            </w:pPr>
            <w:r>
              <w:rPr>
                <w:color w:val="000000"/>
              </w:rPr>
              <w:t>0</w:t>
            </w:r>
          </w:p>
        </w:tc>
        <w:tc>
          <w:tcPr>
            <w:tcW w:w="1890" w:type="dxa"/>
            <w:vAlign w:val="bottom"/>
          </w:tcPr>
          <w:p w:rsidR="001711ED" w:rsidRDefault="00FF78B4">
            <w:pPr>
              <w:spacing w:beforeAutospacing="1" w:afterAutospacing="1"/>
              <w:jc w:val="right"/>
            </w:pPr>
            <w:r>
              <w:rPr>
                <w:color w:val="000000"/>
              </w:rPr>
              <w:t>0</w:t>
            </w:r>
          </w:p>
        </w:tc>
      </w:tr>
      <w:tr w:rsidR="001711ED">
        <w:trPr>
          <w:gridAfter w:val="1"/>
          <w:wAfter w:w="25" w:type="dxa"/>
          <w:cantSplit/>
        </w:trPr>
        <w:tc>
          <w:tcPr>
            <w:tcW w:w="4081" w:type="dxa"/>
            <w:vAlign w:val="bottom"/>
          </w:tcPr>
          <w:p w:rsidR="001711ED" w:rsidRDefault="00FF78B4">
            <w:pPr>
              <w:spacing w:beforeAutospacing="1" w:afterAutospacing="1"/>
            </w:pPr>
            <w:r>
              <w:rPr>
                <w:b/>
                <w:color w:val="000000"/>
              </w:rPr>
              <w:t>Total</w:t>
            </w:r>
          </w:p>
        </w:tc>
        <w:tc>
          <w:tcPr>
            <w:tcW w:w="1859" w:type="dxa"/>
            <w:vAlign w:val="bottom"/>
          </w:tcPr>
          <w:p w:rsidR="001711ED" w:rsidRDefault="00FF78B4">
            <w:pPr>
              <w:spacing w:beforeAutospacing="1" w:afterAutospacing="1"/>
              <w:jc w:val="right"/>
            </w:pPr>
            <w:r>
              <w:rPr>
                <w:b/>
                <w:color w:val="000000"/>
              </w:rPr>
              <w:t>0</w:t>
            </w:r>
          </w:p>
        </w:tc>
        <w:tc>
          <w:tcPr>
            <w:tcW w:w="1890" w:type="dxa"/>
            <w:vAlign w:val="bottom"/>
          </w:tcPr>
          <w:p w:rsidR="001711ED" w:rsidRDefault="00FF78B4">
            <w:pPr>
              <w:spacing w:beforeAutospacing="1" w:afterAutospacing="1"/>
              <w:jc w:val="right"/>
            </w:pPr>
            <w:r>
              <w:rPr>
                <w:b/>
                <w:color w:val="000000"/>
              </w:rPr>
              <w:t>0</w:t>
            </w:r>
          </w:p>
        </w:tc>
      </w:tr>
    </w:tbl>
    <w:p w:rsidR="001711ED" w:rsidRDefault="00FF78B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51C28">
        <w:rPr>
          <w:rFonts w:asciiTheme="minorHAnsi" w:hAnsiTheme="minorHAnsi"/>
          <w:noProof/>
        </w:rPr>
        <w:t>13</w:t>
      </w:r>
      <w:r>
        <w:rPr>
          <w:rFonts w:asciiTheme="minorHAnsi" w:hAnsiTheme="minorHAnsi"/>
        </w:rPr>
        <w:fldChar w:fldCharType="end"/>
      </w:r>
      <w:r>
        <w:rPr>
          <w:rFonts w:asciiTheme="minorHAnsi" w:hAnsiTheme="minorHAnsi"/>
        </w:rPr>
        <w:t xml:space="preserve"> – Number of Households Served</w:t>
      </w:r>
    </w:p>
    <w:p w:rsidR="001711ED" w:rsidRDefault="001711ED">
      <w:pPr>
        <w:widowControl w:val="0"/>
        <w:spacing w:line="204" w:lineRule="auto"/>
        <w:rPr>
          <w:b/>
          <w:sz w:val="24"/>
          <w:szCs w:val="24"/>
        </w:rPr>
      </w:pPr>
    </w:p>
    <w:p w:rsidR="001711ED" w:rsidRDefault="001711ED">
      <w:pPr>
        <w:widowControl w:val="0"/>
        <w:spacing w:line="204" w:lineRule="auto"/>
        <w:rPr>
          <w:b/>
          <w:sz w:val="24"/>
          <w:szCs w:val="24"/>
        </w:rPr>
      </w:pPr>
    </w:p>
    <w:p w:rsidR="001711ED" w:rsidRDefault="00FF78B4">
      <w:pPr>
        <w:widowControl w:val="0"/>
        <w:spacing w:line="204" w:lineRule="auto"/>
        <w:rPr>
          <w:b/>
          <w:sz w:val="24"/>
          <w:szCs w:val="24"/>
        </w:rPr>
      </w:pPr>
      <w:r>
        <w:rPr>
          <w:b/>
          <w:sz w:val="24"/>
          <w:szCs w:val="24"/>
        </w:rPr>
        <w:t>Narrative Information</w:t>
      </w:r>
    </w:p>
    <w:p w:rsidR="001711ED" w:rsidRDefault="001711ED">
      <w:pPr>
        <w:rPr>
          <w:rFonts w:cs="Arial"/>
        </w:rPr>
      </w:pPr>
    </w:p>
    <w:p w:rsidR="001711ED" w:rsidRDefault="001711ED">
      <w:pPr>
        <w:rPr>
          <w:rFonts w:cs="Arial"/>
        </w:rPr>
      </w:pPr>
    </w:p>
    <w:p w:rsidR="001711ED" w:rsidRDefault="001711ED">
      <w:pPr>
        <w:pStyle w:val="Heading2"/>
        <w:pageBreakBefore/>
        <w:rPr>
          <w:rFonts w:ascii="Calibri" w:hAnsi="Calibri"/>
          <w:i w:val="0"/>
        </w:rPr>
        <w:sectPr w:rsidR="001711ED">
          <w:pgSz w:w="12240" w:h="15840" w:code="1"/>
          <w:pgMar w:top="1440" w:right="1440" w:bottom="1440" w:left="1440" w:header="720" w:footer="720" w:gutter="0"/>
          <w:cols w:space="720"/>
          <w:docGrid w:linePitch="360"/>
        </w:sectPr>
      </w:pPr>
    </w:p>
    <w:bookmarkEnd w:id="2"/>
    <w:p w:rsidR="001711ED" w:rsidRDefault="00FF78B4">
      <w:pPr>
        <w:pStyle w:val="Heading2"/>
        <w:pageBreakBefore/>
        <w:widowControl w:val="0"/>
        <w:rPr>
          <w:rFonts w:ascii="Calibri" w:hAnsi="Calibri"/>
          <w:i w:val="0"/>
        </w:rPr>
      </w:pPr>
      <w:r>
        <w:rPr>
          <w:rFonts w:ascii="Calibri" w:hAnsi="Calibri"/>
          <w:i w:val="0"/>
        </w:rPr>
        <w:lastRenderedPageBreak/>
        <w:t>CR-25 - Homeless and Other Special Needs 91.220(d, e); 91.320(d, e); 91.520(c)</w:t>
      </w:r>
    </w:p>
    <w:p w:rsidR="001711ED" w:rsidRDefault="00FF78B4">
      <w:pPr>
        <w:keepNext/>
        <w:widowControl w:val="0"/>
        <w:rPr>
          <w:b/>
          <w:sz w:val="24"/>
          <w:szCs w:val="24"/>
        </w:rPr>
      </w:pPr>
      <w:r>
        <w:rPr>
          <w:b/>
          <w:sz w:val="24"/>
          <w:szCs w:val="24"/>
        </w:rPr>
        <w:t>Evaluate the jurisdiction’s progress in meeting its specific objectives for reducing and ending homelessness through:</w:t>
      </w:r>
    </w:p>
    <w:p w:rsidR="001711ED" w:rsidRDefault="00FF78B4">
      <w:pPr>
        <w:widowControl w:val="0"/>
        <w:rPr>
          <w:b/>
          <w:sz w:val="24"/>
          <w:szCs w:val="24"/>
        </w:rPr>
      </w:pPr>
      <w:r>
        <w:rPr>
          <w:b/>
          <w:sz w:val="24"/>
          <w:szCs w:val="24"/>
        </w:rPr>
        <w:t>Reaching out to homeless persons (especially unsheltered persons) and assessing their individual needs</w:t>
      </w:r>
    </w:p>
    <w:p w:rsidR="001711ED" w:rsidRDefault="00FF78B4">
      <w:pPr>
        <w:widowControl w:val="0"/>
        <w:spacing w:beforeAutospacing="1" w:afterAutospacing="1"/>
        <w:rPr>
          <w:rFonts w:cs="Arial"/>
        </w:rPr>
      </w:pPr>
      <w:r>
        <w:rPr>
          <w:rFonts w:cs="Arial"/>
        </w:rPr>
        <w:t xml:space="preserve">The Gaston/Lincoln/Cleveland Continuum of Care, through its network of agencies, attempts on a regular basis to identify problem areas as they arise. These are then addressed within specified </w:t>
      </w:r>
      <w:proofErr w:type="spellStart"/>
      <w:r>
        <w:rPr>
          <w:rFonts w:cs="Arial"/>
        </w:rPr>
        <w:t>subcommittes</w:t>
      </w:r>
      <w:proofErr w:type="spellEnd"/>
      <w:r>
        <w:rPr>
          <w:rFonts w:cs="Arial"/>
        </w:rPr>
        <w:t xml:space="preserve"> before they are brought to the full committee for review and final decision-making. Current efforts are being make to develop as many HMIS entry points throughout the system so that homeless individuals and families may be identified and an assessment of needs conducted so that a complete plan of action </w:t>
      </w:r>
      <w:proofErr w:type="spellStart"/>
      <w:proofErr w:type="gramStart"/>
      <w:r>
        <w:rPr>
          <w:rFonts w:cs="Arial"/>
        </w:rPr>
        <w:t>my</w:t>
      </w:r>
      <w:proofErr w:type="spellEnd"/>
      <w:proofErr w:type="gramEnd"/>
      <w:r>
        <w:rPr>
          <w:rFonts w:cs="Arial"/>
        </w:rPr>
        <w:t xml:space="preserve"> be initiated.</w:t>
      </w:r>
    </w:p>
    <w:p w:rsidR="001711ED" w:rsidRDefault="00FF78B4">
      <w:pPr>
        <w:widowControl w:val="0"/>
        <w:spacing w:beforeAutospacing="1" w:afterAutospacing="1"/>
        <w:rPr>
          <w:rFonts w:cs="Arial"/>
        </w:rPr>
      </w:pPr>
      <w:r>
        <w:rPr>
          <w:rFonts w:cs="Arial"/>
        </w:rPr>
        <w:t xml:space="preserve">The January 24, 2023 Point-In-Time (PIT) Count/Survey was conducted. This survey allowed the GLC </w:t>
      </w:r>
      <w:proofErr w:type="spellStart"/>
      <w:r>
        <w:rPr>
          <w:rFonts w:cs="Arial"/>
        </w:rPr>
        <w:t>CoC</w:t>
      </w:r>
      <w:proofErr w:type="spellEnd"/>
      <w:r>
        <w:rPr>
          <w:rFonts w:cs="Arial"/>
        </w:rPr>
        <w:t xml:space="preserve"> to best determine where services and outreach are lacking and develop a better course of action to address future efforts. The 2023 PIT Count identified 388 homeless persons, of which 143 were unsheltered.  Of the 245 sheltered persons, 221 were in Emergency Shelters (ES) and 20 in Transitional Shelters (TS). Full details of the count are noted in the charts below.</w:t>
      </w:r>
    </w:p>
    <w:p w:rsidR="001711ED" w:rsidRDefault="00FF78B4">
      <w:pPr>
        <w:widowControl w:val="0"/>
        <w:rPr>
          <w:rFonts w:cs="Arial"/>
        </w:rPr>
      </w:pPr>
      <w:r>
        <w:rPr>
          <w:rFonts w:cs="Arial"/>
          <w:b/>
          <w:noProof/>
        </w:rPr>
        <w:drawing>
          <wp:inline distT="0" distB="0" distL="0" distR="0">
            <wp:extent cx="5943600" cy="25540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554023"/>
                    </a:xfrm>
                    <a:prstGeom prst="rect">
                      <a:avLst/>
                    </a:prstGeom>
                  </pic:spPr>
                </pic:pic>
              </a:graphicData>
            </a:graphic>
          </wp:inline>
        </w:drawing>
      </w:r>
      <w:r>
        <w:rPr>
          <w:rFonts w:cs="Arial"/>
          <w:b/>
        </w:rPr>
        <w:br/>
        <w:t>2023 Point in Time Count</w:t>
      </w:r>
    </w:p>
    <w:p w:rsidR="001711ED" w:rsidRDefault="00FF78B4">
      <w:pPr>
        <w:widowControl w:val="0"/>
        <w:rPr>
          <w:rFonts w:cs="Arial"/>
        </w:rPr>
      </w:pPr>
      <w:r>
        <w:rPr>
          <w:rFonts w:cs="Arial"/>
          <w:b/>
          <w:noProof/>
        </w:rPr>
        <w:lastRenderedPageBreak/>
        <w:drawing>
          <wp:inline distT="0" distB="0" distL="0" distR="0">
            <wp:extent cx="5943600" cy="40858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085859"/>
                    </a:xfrm>
                    <a:prstGeom prst="rect">
                      <a:avLst/>
                    </a:prstGeom>
                  </pic:spPr>
                </pic:pic>
              </a:graphicData>
            </a:graphic>
          </wp:inline>
        </w:drawing>
      </w:r>
      <w:r>
        <w:rPr>
          <w:rFonts w:cs="Arial"/>
          <w:b/>
        </w:rPr>
        <w:br/>
        <w:t>2023 Point in Time Count- Demographics</w:t>
      </w:r>
    </w:p>
    <w:p w:rsidR="001711ED" w:rsidRDefault="00FF78B4">
      <w:pPr>
        <w:widowControl w:val="0"/>
        <w:rPr>
          <w:rFonts w:cs="Arial"/>
        </w:rPr>
      </w:pPr>
      <w:r>
        <w:rPr>
          <w:rFonts w:cs="Arial"/>
          <w:b/>
          <w:noProof/>
        </w:rPr>
        <w:drawing>
          <wp:inline distT="0" distB="0" distL="0" distR="0">
            <wp:extent cx="5943600" cy="37227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722786"/>
                    </a:xfrm>
                    <a:prstGeom prst="rect">
                      <a:avLst/>
                    </a:prstGeom>
                  </pic:spPr>
                </pic:pic>
              </a:graphicData>
            </a:graphic>
          </wp:inline>
        </w:drawing>
      </w:r>
      <w:r>
        <w:rPr>
          <w:rFonts w:cs="Arial"/>
          <w:b/>
        </w:rPr>
        <w:br/>
      </w:r>
      <w:r>
        <w:rPr>
          <w:rFonts w:cs="Arial"/>
          <w:b/>
        </w:rPr>
        <w:lastRenderedPageBreak/>
        <w:t>2023 Point in Time Count- Chronic and Veteran</w:t>
      </w:r>
    </w:p>
    <w:p w:rsidR="001711ED" w:rsidRDefault="00FF78B4">
      <w:pPr>
        <w:widowControl w:val="0"/>
        <w:rPr>
          <w:b/>
          <w:sz w:val="24"/>
          <w:szCs w:val="24"/>
        </w:rPr>
      </w:pPr>
      <w:r>
        <w:rPr>
          <w:b/>
          <w:sz w:val="24"/>
          <w:szCs w:val="24"/>
        </w:rPr>
        <w:t>Addressing the emergency shelter and transitional housing needs of homeless persons</w:t>
      </w:r>
    </w:p>
    <w:p w:rsidR="001711ED" w:rsidRDefault="00FF78B4">
      <w:pPr>
        <w:widowControl w:val="0"/>
        <w:spacing w:beforeAutospacing="1" w:afterAutospacing="1"/>
        <w:rPr>
          <w:rFonts w:cs="Arial"/>
        </w:rPr>
      </w:pPr>
      <w:r>
        <w:rPr>
          <w:rFonts w:cs="Arial"/>
        </w:rPr>
        <w:t>The Gaston Lincoln Cleveland (G/L/C) Continuum of Care (</w:t>
      </w:r>
      <w:proofErr w:type="spellStart"/>
      <w:r>
        <w:rPr>
          <w:rFonts w:cs="Arial"/>
        </w:rPr>
        <w:t>CoC</w:t>
      </w:r>
      <w:proofErr w:type="spellEnd"/>
      <w:r>
        <w:rPr>
          <w:rFonts w:cs="Arial"/>
        </w:rPr>
        <w:t xml:space="preserve">) continues to implement and revise its current processes to better address the needs of homeless individuals and families within its program area. The revision to its processes for its emergency shelter and transitional housing are no exception. GLC </w:t>
      </w:r>
      <w:proofErr w:type="spellStart"/>
      <w:r>
        <w:rPr>
          <w:rFonts w:cs="Arial"/>
        </w:rPr>
        <w:t>CoC</w:t>
      </w:r>
      <w:proofErr w:type="spellEnd"/>
      <w:r>
        <w:rPr>
          <w:rFonts w:cs="Arial"/>
        </w:rPr>
        <w:t xml:space="preserve"> is in the process of working on its coordinated entry process by ensuring that all agencies have HMIS entry points and that staff at each facility fully understand and are trained on the process. The GLC </w:t>
      </w:r>
      <w:proofErr w:type="spellStart"/>
      <w:r>
        <w:rPr>
          <w:rFonts w:cs="Arial"/>
        </w:rPr>
        <w:t>CoC</w:t>
      </w:r>
      <w:proofErr w:type="spellEnd"/>
      <w:r>
        <w:rPr>
          <w:rFonts w:cs="Arial"/>
        </w:rPr>
        <w:t xml:space="preserve"> hopes that, through these efforts, it will promote access and utilization of mainstream programs and optimize self-sufficiency among individuals and families experiencing homelessness.  Gastonia is limited in the areas of transitional housing.  The current emergency shelter provider is the Salvation Army.</w:t>
      </w:r>
    </w:p>
    <w:p w:rsidR="001711ED" w:rsidRDefault="00FF78B4">
      <w:pPr>
        <w:widowControl w:val="0"/>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education, or youth needs</w:t>
      </w:r>
    </w:p>
    <w:p w:rsidR="001711ED" w:rsidRDefault="00FF78B4">
      <w:pPr>
        <w:widowControl w:val="0"/>
        <w:spacing w:beforeAutospacing="1" w:afterAutospacing="1"/>
        <w:rPr>
          <w:rFonts w:cs="Arial"/>
        </w:rPr>
      </w:pPr>
      <w:r>
        <w:rPr>
          <w:rFonts w:cs="Arial"/>
        </w:rPr>
        <w:t xml:space="preserve">Various Continuum of Care agencies received </w:t>
      </w:r>
      <w:proofErr w:type="spellStart"/>
      <w:r>
        <w:rPr>
          <w:rFonts w:cs="Arial"/>
        </w:rPr>
        <w:t>CoC</w:t>
      </w:r>
      <w:proofErr w:type="spellEnd"/>
      <w:r>
        <w:rPr>
          <w:rFonts w:cs="Arial"/>
        </w:rPr>
        <w:t xml:space="preserve"> NOFA, ESG, ESG-CV, and ESG-CV2 funding and continued to administer those funds during FY2022 to support housing and other services for homeless individuals and families.  Some individuals and families transitioning out of publicly funded institutions and systems have limited resources and struggle to secure stable housing. The GLC </w:t>
      </w:r>
      <w:proofErr w:type="spellStart"/>
      <w:r>
        <w:rPr>
          <w:rFonts w:cs="Arial"/>
        </w:rPr>
        <w:t>CoC</w:t>
      </w:r>
      <w:proofErr w:type="spellEnd"/>
      <w:r>
        <w:rPr>
          <w:rFonts w:cs="Arial"/>
        </w:rPr>
        <w:t xml:space="preserve"> utilized the Rapid Re-Housing (RRH) Program, however the lack of available, affordable, housing options creates a barrier. The GLC </w:t>
      </w:r>
      <w:proofErr w:type="spellStart"/>
      <w:r>
        <w:rPr>
          <w:rFonts w:cs="Arial"/>
        </w:rPr>
        <w:t>CoC</w:t>
      </w:r>
      <w:proofErr w:type="spellEnd"/>
      <w:r>
        <w:rPr>
          <w:rFonts w:cs="Arial"/>
        </w:rPr>
        <w:t xml:space="preserve"> also uses the Emergency Solutions Grant (ESG) to address needs. The resources provided may not fully meet the overwhelming demand for essential services like case management, rental assistance, and homelessness prevention. Amidst these constraints, the GLC </w:t>
      </w:r>
      <w:proofErr w:type="spellStart"/>
      <w:r>
        <w:rPr>
          <w:rFonts w:cs="Arial"/>
        </w:rPr>
        <w:t>CoC</w:t>
      </w:r>
      <w:proofErr w:type="spellEnd"/>
      <w:r>
        <w:rPr>
          <w:rFonts w:cs="Arial"/>
        </w:rPr>
        <w:t xml:space="preserve"> continues to work to navigate the complexities of assisting individuals and families who may already be receiving aid from public or private agencies addressing various needs, all while recognizing the persistent vulnerability and instability within our low-income population.</w:t>
      </w:r>
    </w:p>
    <w:p w:rsidR="001711ED" w:rsidRDefault="00FF78B4">
      <w:pPr>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1711ED" w:rsidRDefault="00FF78B4">
      <w:pPr>
        <w:widowControl w:val="0"/>
        <w:spacing w:beforeAutospacing="1" w:afterAutospacing="1"/>
        <w:rPr>
          <w:rFonts w:cs="Arial"/>
        </w:rPr>
      </w:pPr>
      <w:r>
        <w:rPr>
          <w:rFonts w:cs="Arial"/>
        </w:rPr>
        <w:t xml:space="preserve">Gastonia continued its collaborative efforts with the Gaston-Lincoln-Cleveland Continuum of Care </w:t>
      </w:r>
      <w:r>
        <w:rPr>
          <w:rFonts w:cs="Arial"/>
        </w:rPr>
        <w:lastRenderedPageBreak/>
        <w:t>(</w:t>
      </w:r>
      <w:proofErr w:type="spellStart"/>
      <w:r>
        <w:rPr>
          <w:rFonts w:cs="Arial"/>
        </w:rPr>
        <w:t>CoC</w:t>
      </w:r>
      <w:proofErr w:type="spellEnd"/>
      <w:r>
        <w:rPr>
          <w:rFonts w:cs="Arial"/>
        </w:rPr>
        <w:t xml:space="preserve">).  The </w:t>
      </w:r>
      <w:proofErr w:type="spellStart"/>
      <w:r>
        <w:rPr>
          <w:rFonts w:cs="Arial"/>
        </w:rPr>
        <w:t>CoC</w:t>
      </w:r>
      <w:proofErr w:type="spellEnd"/>
      <w:r>
        <w:rPr>
          <w:rFonts w:cs="Arial"/>
        </w:rPr>
        <w:t xml:space="preserve"> continued work with the Gastonia Housing Authority to administer Emergency Housing Vouchers (EHV) to homeless individuals and families in an effort to slow the spread of COVID-19. As FY2022 closed, there were few EHV remaining.</w:t>
      </w:r>
    </w:p>
    <w:p w:rsidR="001711ED" w:rsidRDefault="00FF78B4">
      <w:pPr>
        <w:widowControl w:val="0"/>
        <w:spacing w:beforeAutospacing="1" w:afterAutospacing="1"/>
        <w:rPr>
          <w:rFonts w:cs="Arial"/>
        </w:rPr>
      </w:pPr>
      <w:r>
        <w:rPr>
          <w:rFonts w:cs="Arial"/>
        </w:rPr>
        <w:t>Efforts in assisting homeless individuals and families, with a particular focus on chronically homeless individuals and families, families with children, veterans and their families, and unaccompanied youth, grapple with the challenges of facilitating a transition to permanent housing and independent living. The duration of homelessness remains a persistent concern, with individuals and families struggling to find housing stability. Attempts to navigate the scarcity of affordable housing units for homeless individuals and families, recognizing the stark reality of limited resources. Moreover, the risk of recurring homelessness among those who have recently secured housing continues to be a pressing issue, emphasizing the ongoing vulnerability and instability within our homeless population. Despite these challenges, we remain committed to addressing homelessness within our community, albeit in the face of numerous obstacles.</w:t>
      </w:r>
    </w:p>
    <w:p w:rsidR="001711ED" w:rsidRDefault="001711ED">
      <w:pPr>
        <w:widowControl w:val="0"/>
        <w:rPr>
          <w:rFonts w:cs="Arial"/>
          <w:szCs w:val="26"/>
        </w:rPr>
      </w:pPr>
    </w:p>
    <w:p w:rsidR="001711ED" w:rsidRDefault="00FF78B4">
      <w:pPr>
        <w:pStyle w:val="Heading2"/>
        <w:pageBreakBefore/>
        <w:widowControl w:val="0"/>
        <w:rPr>
          <w:rFonts w:ascii="Calibri" w:hAnsi="Calibri"/>
          <w:i w:val="0"/>
        </w:rPr>
      </w:pPr>
      <w:r>
        <w:rPr>
          <w:rFonts w:ascii="Calibri" w:hAnsi="Calibri"/>
          <w:i w:val="0"/>
        </w:rPr>
        <w:lastRenderedPageBreak/>
        <w:t>CR-30 - Public Housing 91.220(h); 91.320(j)</w:t>
      </w:r>
    </w:p>
    <w:p w:rsidR="001711ED" w:rsidRDefault="00FF78B4">
      <w:pPr>
        <w:keepNext/>
        <w:widowControl w:val="0"/>
        <w:rPr>
          <w:b/>
          <w:sz w:val="24"/>
          <w:szCs w:val="24"/>
        </w:rPr>
      </w:pPr>
      <w:r>
        <w:rPr>
          <w:b/>
          <w:sz w:val="24"/>
          <w:szCs w:val="24"/>
        </w:rPr>
        <w:t>Actions taken to address the needs of public housing</w:t>
      </w:r>
    </w:p>
    <w:p w:rsidR="001711ED" w:rsidRDefault="00FF78B4">
      <w:pPr>
        <w:keepNext/>
        <w:widowControl w:val="0"/>
        <w:spacing w:beforeAutospacing="1" w:afterAutospacing="1"/>
        <w:rPr>
          <w:rFonts w:cs="Arial"/>
        </w:rPr>
      </w:pPr>
      <w:r>
        <w:rPr>
          <w:rFonts w:cs="Arial"/>
        </w:rPr>
        <w:t>The Gastonia Housing Authority provides permanent housing for very low and extremely low income families through two Section 8 programs and applicants can apply for one or both of the programs, providing the waiting lists are open.</w:t>
      </w:r>
    </w:p>
    <w:p w:rsidR="001711ED" w:rsidRDefault="00FF78B4">
      <w:pPr>
        <w:numPr>
          <w:ilvl w:val="0"/>
          <w:numId w:val="17"/>
        </w:numPr>
        <w:spacing w:beforeAutospacing="1" w:afterAutospacing="1"/>
      </w:pPr>
      <w:r>
        <w:rPr>
          <w:rFonts w:cs="Arial"/>
        </w:rPr>
        <w:t>The Housing Choice Voucher (HCV) Program</w:t>
      </w:r>
    </w:p>
    <w:p w:rsidR="001711ED" w:rsidRDefault="00FF78B4">
      <w:pPr>
        <w:numPr>
          <w:ilvl w:val="0"/>
          <w:numId w:val="17"/>
        </w:numPr>
        <w:spacing w:beforeAutospacing="1" w:afterAutospacing="1"/>
      </w:pPr>
      <w:r>
        <w:rPr>
          <w:rFonts w:cs="Arial"/>
        </w:rPr>
        <w:t>The Project-Based Voucher (PBV) Program</w:t>
      </w:r>
    </w:p>
    <w:p w:rsidR="001711ED" w:rsidRDefault="00FF78B4">
      <w:pPr>
        <w:keepNext/>
        <w:widowControl w:val="0"/>
        <w:spacing w:beforeAutospacing="1" w:afterAutospacing="1"/>
        <w:rPr>
          <w:rFonts w:cs="Arial"/>
        </w:rPr>
      </w:pPr>
      <w:r>
        <w:rPr>
          <w:rFonts w:cs="Arial"/>
        </w:rPr>
        <w:t xml:space="preserve">HCV provides vouchers to qualified applicants which allow families to locate affordable housing throughout Gaston County. The waitlist for HCV’s is currently at 3075 households. GHA has 1799 </w:t>
      </w:r>
      <w:proofErr w:type="gramStart"/>
      <w:r>
        <w:rPr>
          <w:rFonts w:cs="Arial"/>
        </w:rPr>
        <w:t>HCV's;  100</w:t>
      </w:r>
      <w:proofErr w:type="gramEnd"/>
      <w:r>
        <w:rPr>
          <w:rFonts w:cs="Arial"/>
        </w:rPr>
        <w:t xml:space="preserve"> are </w:t>
      </w:r>
      <w:proofErr w:type="spellStart"/>
      <w:r>
        <w:rPr>
          <w:rFonts w:cs="Arial"/>
        </w:rPr>
        <w:t>prioritiezed</w:t>
      </w:r>
      <w:proofErr w:type="spellEnd"/>
      <w:r>
        <w:rPr>
          <w:rFonts w:cs="Arial"/>
        </w:rPr>
        <w:t xml:space="preserve"> for Non-Elderly Disabled (NED). 37 are Emergency Housing Vouchers (EHV) which </w:t>
      </w:r>
      <w:proofErr w:type="spellStart"/>
      <w:r>
        <w:rPr>
          <w:rFonts w:cs="Arial"/>
        </w:rPr>
        <w:t>prioritiezes</w:t>
      </w:r>
      <w:proofErr w:type="spellEnd"/>
      <w:r>
        <w:rPr>
          <w:rFonts w:cs="Arial"/>
        </w:rPr>
        <w:t xml:space="preserve"> homelessness, at-risk of homelessness and/or domestic violence. Those seeking to access EHV must come through one of the following referral partners</w:t>
      </w:r>
    </w:p>
    <w:p w:rsidR="001711ED" w:rsidRDefault="00FF78B4">
      <w:pPr>
        <w:numPr>
          <w:ilvl w:val="0"/>
          <w:numId w:val="18"/>
        </w:numPr>
        <w:spacing w:beforeAutospacing="1" w:afterAutospacing="1"/>
      </w:pPr>
      <w:r>
        <w:rPr>
          <w:rFonts w:cs="Arial"/>
        </w:rPr>
        <w:t>The Salvation Army</w:t>
      </w:r>
    </w:p>
    <w:p w:rsidR="001711ED" w:rsidRDefault="00FF78B4">
      <w:pPr>
        <w:numPr>
          <w:ilvl w:val="0"/>
          <w:numId w:val="18"/>
        </w:numPr>
        <w:spacing w:beforeAutospacing="1" w:afterAutospacing="1"/>
      </w:pPr>
      <w:r>
        <w:rPr>
          <w:rFonts w:cs="Arial"/>
        </w:rPr>
        <w:t>The Hope Youth Network</w:t>
      </w:r>
    </w:p>
    <w:p w:rsidR="001711ED" w:rsidRDefault="00FF78B4">
      <w:pPr>
        <w:numPr>
          <w:ilvl w:val="0"/>
          <w:numId w:val="18"/>
        </w:numPr>
        <w:spacing w:beforeAutospacing="1" w:afterAutospacing="1"/>
      </w:pPr>
      <w:r>
        <w:rPr>
          <w:rFonts w:cs="Arial"/>
        </w:rPr>
        <w:t>Family Promise</w:t>
      </w:r>
    </w:p>
    <w:p w:rsidR="001711ED" w:rsidRDefault="00FF78B4">
      <w:pPr>
        <w:numPr>
          <w:ilvl w:val="0"/>
          <w:numId w:val="18"/>
        </w:numPr>
        <w:spacing w:beforeAutospacing="1" w:afterAutospacing="1"/>
      </w:pPr>
      <w:proofErr w:type="spellStart"/>
      <w:r>
        <w:rPr>
          <w:rFonts w:cs="Arial"/>
        </w:rPr>
        <w:t>HealthNet</w:t>
      </w:r>
      <w:proofErr w:type="spellEnd"/>
      <w:r>
        <w:rPr>
          <w:rFonts w:cs="Arial"/>
        </w:rPr>
        <w:t xml:space="preserve"> Gaston</w:t>
      </w:r>
    </w:p>
    <w:p w:rsidR="001711ED" w:rsidRDefault="00FF78B4">
      <w:pPr>
        <w:numPr>
          <w:ilvl w:val="0"/>
          <w:numId w:val="18"/>
        </w:numPr>
        <w:spacing w:beforeAutospacing="1" w:afterAutospacing="1"/>
      </w:pPr>
      <w:proofErr w:type="spellStart"/>
      <w:r>
        <w:rPr>
          <w:rFonts w:cs="Arial"/>
        </w:rPr>
        <w:t>Kintegra</w:t>
      </w:r>
      <w:proofErr w:type="spellEnd"/>
      <w:r>
        <w:rPr>
          <w:rFonts w:cs="Arial"/>
        </w:rPr>
        <w:t xml:space="preserve"> Health</w:t>
      </w:r>
    </w:p>
    <w:p w:rsidR="001711ED" w:rsidRDefault="00FF78B4">
      <w:pPr>
        <w:numPr>
          <w:ilvl w:val="0"/>
          <w:numId w:val="18"/>
        </w:numPr>
        <w:spacing w:beforeAutospacing="1" w:afterAutospacing="1"/>
      </w:pPr>
      <w:r>
        <w:rPr>
          <w:rFonts w:cs="Arial"/>
        </w:rPr>
        <w:t>Monarch</w:t>
      </w:r>
    </w:p>
    <w:p w:rsidR="001711ED" w:rsidRDefault="00FF78B4">
      <w:pPr>
        <w:numPr>
          <w:ilvl w:val="0"/>
          <w:numId w:val="18"/>
        </w:numPr>
        <w:spacing w:beforeAutospacing="1" w:afterAutospacing="1"/>
      </w:pPr>
      <w:r>
        <w:rPr>
          <w:rFonts w:cs="Arial"/>
        </w:rPr>
        <w:t>The Shelter of Gaston County</w:t>
      </w:r>
    </w:p>
    <w:p w:rsidR="001711ED" w:rsidRDefault="00FF78B4">
      <w:pPr>
        <w:numPr>
          <w:ilvl w:val="0"/>
          <w:numId w:val="18"/>
        </w:numPr>
        <w:spacing w:beforeAutospacing="1" w:afterAutospacing="1"/>
      </w:pPr>
      <w:r>
        <w:rPr>
          <w:rFonts w:cs="Arial"/>
        </w:rPr>
        <w:t>Partners Health Management</w:t>
      </w:r>
    </w:p>
    <w:p w:rsidR="001711ED" w:rsidRDefault="00FF78B4">
      <w:pPr>
        <w:keepNext/>
        <w:widowControl w:val="0"/>
        <w:spacing w:beforeAutospacing="1" w:afterAutospacing="1"/>
        <w:rPr>
          <w:rFonts w:cs="Arial"/>
        </w:rPr>
      </w:pPr>
      <w:r>
        <w:rPr>
          <w:rFonts w:cs="Arial"/>
        </w:rPr>
        <w:t xml:space="preserve">Project-Based Vouchers (PB) provide assistance at specific apartment communities in Gaston County. Below </w:t>
      </w:r>
      <w:proofErr w:type="gramStart"/>
      <w:r>
        <w:rPr>
          <w:rFonts w:cs="Arial"/>
        </w:rPr>
        <w:t>are</w:t>
      </w:r>
      <w:proofErr w:type="gramEnd"/>
      <w:r>
        <w:rPr>
          <w:rFonts w:cs="Arial"/>
        </w:rPr>
        <w:t xml:space="preserve"> a list of the communities that have project-based voucher assistance provided by the Gastonia Housing Authority.</w:t>
      </w:r>
    </w:p>
    <w:p w:rsidR="001711ED" w:rsidRDefault="00FF78B4">
      <w:pPr>
        <w:numPr>
          <w:ilvl w:val="0"/>
          <w:numId w:val="19"/>
        </w:numPr>
        <w:spacing w:beforeAutospacing="1" w:afterAutospacing="1"/>
      </w:pPr>
      <w:r>
        <w:rPr>
          <w:rFonts w:cs="Arial"/>
        </w:rPr>
        <w:t>Cameron Courts</w:t>
      </w:r>
    </w:p>
    <w:p w:rsidR="001711ED" w:rsidRDefault="00FF78B4">
      <w:pPr>
        <w:numPr>
          <w:ilvl w:val="0"/>
          <w:numId w:val="19"/>
        </w:numPr>
        <w:spacing w:beforeAutospacing="1" w:afterAutospacing="1"/>
      </w:pPr>
      <w:r>
        <w:rPr>
          <w:rFonts w:cs="Arial"/>
        </w:rPr>
        <w:t>Weldon Heights</w:t>
      </w:r>
    </w:p>
    <w:p w:rsidR="001711ED" w:rsidRDefault="00FF78B4">
      <w:pPr>
        <w:numPr>
          <w:ilvl w:val="0"/>
          <w:numId w:val="19"/>
        </w:numPr>
        <w:spacing w:beforeAutospacing="1" w:afterAutospacing="1"/>
      </w:pPr>
      <w:r>
        <w:rPr>
          <w:rFonts w:cs="Arial"/>
        </w:rPr>
        <w:t>Mountain View</w:t>
      </w:r>
    </w:p>
    <w:p w:rsidR="001711ED" w:rsidRDefault="00FF78B4">
      <w:pPr>
        <w:keepNext/>
        <w:widowControl w:val="0"/>
        <w:spacing w:beforeAutospacing="1" w:afterAutospacing="1"/>
        <w:rPr>
          <w:rFonts w:cs="Arial"/>
        </w:rPr>
      </w:pPr>
      <w:r>
        <w:rPr>
          <w:rFonts w:cs="Arial"/>
        </w:rPr>
        <w:t>The following properties are designated for residents ages 62 and older:</w:t>
      </w:r>
    </w:p>
    <w:p w:rsidR="001711ED" w:rsidRDefault="00FF78B4">
      <w:pPr>
        <w:numPr>
          <w:ilvl w:val="0"/>
          <w:numId w:val="20"/>
        </w:numPr>
        <w:spacing w:beforeAutospacing="1" w:afterAutospacing="1"/>
      </w:pPr>
      <w:r>
        <w:rPr>
          <w:rFonts w:cs="Arial"/>
        </w:rPr>
        <w:t>Linwood Terrace</w:t>
      </w:r>
    </w:p>
    <w:p w:rsidR="001711ED" w:rsidRDefault="00FF78B4">
      <w:pPr>
        <w:numPr>
          <w:ilvl w:val="0"/>
          <w:numId w:val="20"/>
        </w:numPr>
        <w:spacing w:beforeAutospacing="1" w:afterAutospacing="1"/>
      </w:pPr>
      <w:r>
        <w:rPr>
          <w:rFonts w:cs="Arial"/>
        </w:rPr>
        <w:t>Gateway Village</w:t>
      </w:r>
    </w:p>
    <w:p w:rsidR="001711ED" w:rsidRDefault="00FF78B4">
      <w:pPr>
        <w:numPr>
          <w:ilvl w:val="0"/>
          <w:numId w:val="20"/>
        </w:numPr>
        <w:spacing w:beforeAutospacing="1" w:afterAutospacing="1"/>
      </w:pPr>
      <w:proofErr w:type="spellStart"/>
      <w:r>
        <w:rPr>
          <w:rFonts w:cs="Arial"/>
        </w:rPr>
        <w:t>Loftin</w:t>
      </w:r>
      <w:proofErr w:type="spellEnd"/>
      <w:r>
        <w:rPr>
          <w:rFonts w:cs="Arial"/>
        </w:rPr>
        <w:t xml:space="preserve"> at </w:t>
      </w:r>
      <w:proofErr w:type="spellStart"/>
      <w:r>
        <w:rPr>
          <w:rFonts w:cs="Arial"/>
        </w:rPr>
        <w:t>Montcross</w:t>
      </w:r>
      <w:proofErr w:type="spellEnd"/>
    </w:p>
    <w:p w:rsidR="001711ED" w:rsidRDefault="00FF78B4">
      <w:pPr>
        <w:numPr>
          <w:ilvl w:val="0"/>
          <w:numId w:val="20"/>
        </w:numPr>
        <w:spacing w:beforeAutospacing="1" w:afterAutospacing="1"/>
      </w:pPr>
      <w:r>
        <w:rPr>
          <w:rFonts w:cs="Arial"/>
        </w:rPr>
        <w:t>Dallas High School Apartments (age 62 and older OR age 55 and older AND in need of supportive services)</w:t>
      </w:r>
    </w:p>
    <w:p w:rsidR="001711ED" w:rsidRDefault="00FF78B4">
      <w:pPr>
        <w:keepNext/>
        <w:widowControl w:val="0"/>
        <w:spacing w:beforeAutospacing="1" w:afterAutospacing="1"/>
        <w:rPr>
          <w:rFonts w:cs="Arial"/>
        </w:rPr>
      </w:pPr>
      <w:r>
        <w:rPr>
          <w:rFonts w:cs="Arial"/>
        </w:rPr>
        <w:t xml:space="preserve">The Belmont Housing Authority provides permanent housing for eligible low-income elderly individuals </w:t>
      </w:r>
      <w:r>
        <w:rPr>
          <w:rFonts w:cs="Arial"/>
        </w:rPr>
        <w:lastRenderedPageBreak/>
        <w:t>and persons with disabilities through two Public Housing Properties.</w:t>
      </w:r>
    </w:p>
    <w:p w:rsidR="001711ED" w:rsidRDefault="00FF78B4">
      <w:pPr>
        <w:numPr>
          <w:ilvl w:val="0"/>
          <w:numId w:val="21"/>
        </w:numPr>
        <w:spacing w:beforeAutospacing="1" w:afterAutospacing="1"/>
      </w:pPr>
      <w:r>
        <w:rPr>
          <w:rFonts w:cs="Arial"/>
        </w:rPr>
        <w:t>Flowers Court</w:t>
      </w:r>
    </w:p>
    <w:p w:rsidR="001711ED" w:rsidRDefault="00FF78B4">
      <w:pPr>
        <w:numPr>
          <w:ilvl w:val="0"/>
          <w:numId w:val="21"/>
        </w:numPr>
        <w:spacing w:beforeAutospacing="1" w:afterAutospacing="1"/>
      </w:pPr>
      <w:r>
        <w:rPr>
          <w:rFonts w:cs="Arial"/>
        </w:rPr>
        <w:t>Myrtle Terrace</w:t>
      </w:r>
    </w:p>
    <w:p w:rsidR="001711ED" w:rsidRDefault="00FF78B4">
      <w:pPr>
        <w:keepNext/>
        <w:widowControl w:val="0"/>
        <w:rPr>
          <w:rFonts w:cs="Arial"/>
        </w:rPr>
      </w:pPr>
      <w:r>
        <w:rPr>
          <w:rFonts w:cs="Arial"/>
          <w:b/>
          <w:noProof/>
        </w:rPr>
        <w:drawing>
          <wp:inline distT="0" distB="0" distL="0" distR="0">
            <wp:extent cx="5943600" cy="2131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131240"/>
                    </a:xfrm>
                    <a:prstGeom prst="rect">
                      <a:avLst/>
                    </a:prstGeom>
                  </pic:spPr>
                </pic:pic>
              </a:graphicData>
            </a:graphic>
          </wp:inline>
        </w:drawing>
      </w:r>
      <w:r>
        <w:rPr>
          <w:rFonts w:cs="Arial"/>
          <w:b/>
        </w:rPr>
        <w:br/>
        <w:t>EHV Utilization</w:t>
      </w:r>
    </w:p>
    <w:p w:rsidR="001711ED" w:rsidRDefault="00FF78B4">
      <w:pPr>
        <w:keepNext/>
        <w:widowControl w:val="0"/>
        <w:rPr>
          <w:rFonts w:cs="Arial"/>
        </w:rPr>
      </w:pPr>
      <w:r>
        <w:rPr>
          <w:rFonts w:cs="Arial"/>
          <w:b/>
          <w:noProof/>
        </w:rPr>
        <w:drawing>
          <wp:inline distT="0" distB="0" distL="0" distR="0">
            <wp:extent cx="5943600" cy="21312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131240"/>
                    </a:xfrm>
                    <a:prstGeom prst="rect">
                      <a:avLst/>
                    </a:prstGeom>
                  </pic:spPr>
                </pic:pic>
              </a:graphicData>
            </a:graphic>
          </wp:inline>
        </w:drawing>
      </w:r>
      <w:r>
        <w:rPr>
          <w:rFonts w:cs="Arial"/>
          <w:b/>
        </w:rPr>
        <w:br/>
        <w:t>GHA Multi-Family Housing Revenue Bonds</w:t>
      </w:r>
    </w:p>
    <w:p w:rsidR="001711ED" w:rsidRDefault="00FF78B4">
      <w:pPr>
        <w:widowControl w:val="0"/>
        <w:rPr>
          <w:b/>
          <w:sz w:val="24"/>
          <w:szCs w:val="24"/>
        </w:rPr>
      </w:pPr>
      <w:r>
        <w:rPr>
          <w:b/>
          <w:sz w:val="24"/>
          <w:szCs w:val="24"/>
        </w:rPr>
        <w:t>Actions taken to encourage public housing residents to become more involved in management and participate in homeownership</w:t>
      </w:r>
    </w:p>
    <w:p w:rsidR="001711ED" w:rsidRDefault="00FF78B4">
      <w:pPr>
        <w:widowControl w:val="0"/>
        <w:spacing w:beforeAutospacing="1" w:afterAutospacing="1"/>
        <w:rPr>
          <w:rFonts w:cs="Arial"/>
        </w:rPr>
      </w:pPr>
      <w:r>
        <w:rPr>
          <w:rFonts w:cs="Arial"/>
        </w:rPr>
        <w:t xml:space="preserve">Due to staff and increased inquiries and request for </w:t>
      </w:r>
      <w:proofErr w:type="gramStart"/>
      <w:r>
        <w:rPr>
          <w:rFonts w:cs="Arial"/>
        </w:rPr>
        <w:t>assistance,  and</w:t>
      </w:r>
      <w:proofErr w:type="gramEnd"/>
      <w:r>
        <w:rPr>
          <w:rFonts w:cs="Arial"/>
        </w:rPr>
        <w:t xml:space="preserve"> current housing market conditions, there are limited opportunities for public housing residents to become involved with homeownership.  The City of Gastonia is working to resume it's 12-month program that will allow public housing residents the opportunity to actively engage interested persons.</w:t>
      </w:r>
    </w:p>
    <w:p w:rsidR="001711ED" w:rsidRDefault="00FF78B4">
      <w:pPr>
        <w:widowControl w:val="0"/>
        <w:rPr>
          <w:b/>
          <w:sz w:val="24"/>
          <w:szCs w:val="24"/>
        </w:rPr>
      </w:pPr>
      <w:r>
        <w:rPr>
          <w:b/>
          <w:sz w:val="24"/>
          <w:szCs w:val="24"/>
        </w:rPr>
        <w:t>Actions taken to provide assistance to troubled PHAs</w:t>
      </w:r>
    </w:p>
    <w:p w:rsidR="001711ED" w:rsidRDefault="00FF78B4">
      <w:pPr>
        <w:widowControl w:val="0"/>
        <w:spacing w:beforeAutospacing="1" w:afterAutospacing="1"/>
        <w:rPr>
          <w:rFonts w:cs="Arial"/>
        </w:rPr>
      </w:pPr>
      <w:r>
        <w:rPr>
          <w:rFonts w:cs="Arial"/>
        </w:rPr>
        <w:t xml:space="preserve">Neither the Gastonia Housing Authority nor the Belmont Housing Authority are not considered troubled </w:t>
      </w:r>
      <w:r>
        <w:rPr>
          <w:rFonts w:cs="Arial"/>
        </w:rPr>
        <w:lastRenderedPageBreak/>
        <w:t>Public Housing Authority (PHA), therefore this category does not apply.</w:t>
      </w:r>
    </w:p>
    <w:p w:rsidR="001711ED" w:rsidRDefault="00FF78B4">
      <w:pPr>
        <w:pStyle w:val="Heading2"/>
        <w:pageBreakBefore/>
        <w:widowControl w:val="0"/>
        <w:rPr>
          <w:rFonts w:ascii="Calibri" w:hAnsi="Calibri"/>
          <w:i w:val="0"/>
        </w:rPr>
      </w:pPr>
      <w:r>
        <w:rPr>
          <w:rFonts w:ascii="Calibri" w:hAnsi="Calibri"/>
          <w:i w:val="0"/>
        </w:rPr>
        <w:lastRenderedPageBreak/>
        <w:t>CR-35 - Other Actions 91.220(j)-(k); 91.320(</w:t>
      </w:r>
      <w:proofErr w:type="spellStart"/>
      <w:r>
        <w:rPr>
          <w:rFonts w:ascii="Calibri" w:hAnsi="Calibri"/>
          <w:i w:val="0"/>
        </w:rPr>
        <w:t>i</w:t>
      </w:r>
      <w:proofErr w:type="spellEnd"/>
      <w:r>
        <w:rPr>
          <w:rFonts w:ascii="Calibri" w:hAnsi="Calibri"/>
          <w:i w:val="0"/>
        </w:rPr>
        <w:t>)-(j)</w:t>
      </w:r>
    </w:p>
    <w:p w:rsidR="001711ED" w:rsidRDefault="00FF78B4">
      <w:pPr>
        <w:widowControl w:val="0"/>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w:t>
      </w:r>
      <w:proofErr w:type="spellStart"/>
      <w:r>
        <w:rPr>
          <w:b/>
          <w:sz w:val="24"/>
          <w:szCs w:val="24"/>
        </w:rPr>
        <w:t>i</w:t>
      </w:r>
      <w:proofErr w:type="spellEnd"/>
      <w:r>
        <w:rPr>
          <w:b/>
          <w:sz w:val="24"/>
          <w:szCs w:val="24"/>
        </w:rPr>
        <w:t>)</w:t>
      </w:r>
    </w:p>
    <w:p w:rsidR="001711ED" w:rsidRDefault="00FF78B4">
      <w:pPr>
        <w:widowControl w:val="0"/>
        <w:spacing w:beforeAutospacing="1" w:afterAutospacing="1"/>
        <w:rPr>
          <w:rFonts w:cs="Arial"/>
        </w:rPr>
      </w:pPr>
      <w:r>
        <w:rPr>
          <w:rFonts w:cs="Arial"/>
        </w:rPr>
        <w:t>Staff continues to work with other departments and citizens to determine issues that serve as barriers to affordable housing. In 2019, the City of Gastonia conducted an Analysis of Impediments to identify barriers to fair and affordable housing.  This is an ongoing process, and staff works with other departments to comply with other regulatory policies to determine the best course of action to eliminate or minimalize the perceived barrier(s).</w:t>
      </w:r>
    </w:p>
    <w:p w:rsidR="001711ED" w:rsidRDefault="00FF78B4">
      <w:pPr>
        <w:widowControl w:val="0"/>
        <w:spacing w:beforeAutospacing="1" w:afterAutospacing="1"/>
        <w:rPr>
          <w:rFonts w:cs="Arial"/>
        </w:rPr>
      </w:pPr>
      <w:r>
        <w:rPr>
          <w:rFonts w:cs="Arial"/>
        </w:rPr>
        <w:t>In June 2023, the City of Gastonia initiated efforts to complete an Analysis of Impediments with completion anticipated in April/May of 2024. Additionally, the City of Gastonia is currently undertaking an affordable housing study to development a plan to address affordable housing.</w:t>
      </w:r>
    </w:p>
    <w:p w:rsidR="001711ED" w:rsidRDefault="00FF78B4">
      <w:pPr>
        <w:widowControl w:val="0"/>
        <w:rPr>
          <w:b/>
          <w:sz w:val="24"/>
          <w:szCs w:val="24"/>
        </w:rPr>
      </w:pPr>
      <w:r>
        <w:rPr>
          <w:b/>
          <w:sz w:val="24"/>
          <w:szCs w:val="24"/>
        </w:rPr>
        <w:t>Actions taken to address obstacles to meeting underserved needs.  91.220(k); 91.320(j)</w:t>
      </w:r>
    </w:p>
    <w:p w:rsidR="001711ED" w:rsidRDefault="00FF78B4">
      <w:pPr>
        <w:widowControl w:val="0"/>
        <w:spacing w:beforeAutospacing="1" w:afterAutospacing="1"/>
        <w:rPr>
          <w:rFonts w:cs="Arial"/>
        </w:rPr>
      </w:pPr>
      <w:r>
        <w:rPr>
          <w:rFonts w:cs="Arial"/>
        </w:rPr>
        <w:t xml:space="preserve">The City of Gastonia makes efforts to educate individuals and families on the components of Fair Housing. The City continues to look at innovative ways to conduct Fair Housing education. More information about our efforts regarding Fair Housing can be </w:t>
      </w:r>
      <w:proofErr w:type="gramStart"/>
      <w:r>
        <w:rPr>
          <w:rFonts w:cs="Arial"/>
        </w:rPr>
        <w:t>found  under</w:t>
      </w:r>
      <w:proofErr w:type="gramEnd"/>
      <w:r>
        <w:rPr>
          <w:rFonts w:cs="Arial"/>
        </w:rPr>
        <w:t xml:space="preserve"> the section titled </w:t>
      </w:r>
      <w:r>
        <w:rPr>
          <w:rFonts w:cs="Arial"/>
          <w:b/>
          <w:i/>
        </w:rPr>
        <w:t>“Identify actions taken to overcome the effects of any impediments identified in the jurisdictions analysis of impediments to fair housing choice”.</w:t>
      </w:r>
    </w:p>
    <w:p w:rsidR="001711ED" w:rsidRDefault="00FF78B4">
      <w:pPr>
        <w:widowControl w:val="0"/>
        <w:spacing w:beforeAutospacing="1" w:afterAutospacing="1"/>
        <w:rPr>
          <w:rFonts w:cs="Arial"/>
        </w:rPr>
      </w:pPr>
      <w:r>
        <w:rPr>
          <w:rFonts w:cs="Arial"/>
        </w:rPr>
        <w:t>City General Funds are used to create an assistance fund that helps with customer utility costs. This is called the Gastonia Electric Assistance Resource (GEAR) Program. Very low and low-income families that meet program requirements and apply are eligible to receive a monthly stipend which is applied to the utility balance of $25-$35.</w:t>
      </w:r>
    </w:p>
    <w:p w:rsidR="001711ED" w:rsidRDefault="00FF78B4">
      <w:pPr>
        <w:widowControl w:val="0"/>
        <w:spacing w:beforeAutospacing="1" w:afterAutospacing="1"/>
        <w:rPr>
          <w:rFonts w:cs="Arial"/>
        </w:rPr>
      </w:pPr>
      <w:r>
        <w:rPr>
          <w:rFonts w:cs="Arial"/>
        </w:rPr>
        <w:t>The City of Gastonia applied for a Community Project Funding Grant to increase opportunity for the underserved population of Gastonia by </w:t>
      </w:r>
      <w:proofErr w:type="spellStart"/>
      <w:r>
        <w:rPr>
          <w:rFonts w:cs="Arial"/>
        </w:rPr>
        <w:t>esidents</w:t>
      </w:r>
      <w:proofErr w:type="spellEnd"/>
      <w:r>
        <w:rPr>
          <w:rFonts w:cs="Arial"/>
        </w:rPr>
        <w:t xml:space="preserve"> to receive housing rehabilitation assistance.  In addition, Gastonia has implemented policy revisions to allow for increased assistance </w:t>
      </w:r>
      <w:proofErr w:type="gramStart"/>
      <w:r>
        <w:rPr>
          <w:rFonts w:cs="Arial"/>
        </w:rPr>
        <w:t>through  Direct</w:t>
      </w:r>
      <w:proofErr w:type="gramEnd"/>
      <w:r>
        <w:rPr>
          <w:rFonts w:cs="Arial"/>
        </w:rPr>
        <w:t xml:space="preserve"> Homeownership Assistance (DHA) and  provide increased incentives to developers to produce more units in multi-family housing projects to </w:t>
      </w:r>
      <w:proofErr w:type="spellStart"/>
      <w:r>
        <w:rPr>
          <w:rFonts w:cs="Arial"/>
        </w:rPr>
        <w:t>accomodate</w:t>
      </w:r>
      <w:proofErr w:type="spellEnd"/>
      <w:r>
        <w:rPr>
          <w:rFonts w:cs="Arial"/>
        </w:rPr>
        <w:t xml:space="preserve"> low- to moderate- income residents.</w:t>
      </w:r>
    </w:p>
    <w:p w:rsidR="001711ED" w:rsidRDefault="00FF78B4">
      <w:pPr>
        <w:widowControl w:val="0"/>
        <w:rPr>
          <w:b/>
          <w:sz w:val="24"/>
          <w:szCs w:val="24"/>
        </w:rPr>
      </w:pPr>
      <w:r>
        <w:rPr>
          <w:b/>
          <w:sz w:val="24"/>
          <w:szCs w:val="24"/>
        </w:rPr>
        <w:t>Actions taken to reduce lead-based paint hazards. 91.220(k); 91.320(j)</w:t>
      </w:r>
    </w:p>
    <w:p w:rsidR="001711ED" w:rsidRDefault="00FF78B4">
      <w:pPr>
        <w:widowControl w:val="0"/>
        <w:spacing w:beforeAutospacing="1" w:afterAutospacing="1"/>
        <w:rPr>
          <w:rFonts w:cs="Arial"/>
        </w:rPr>
      </w:pPr>
      <w:r>
        <w:rPr>
          <w:rFonts w:cs="Arial"/>
        </w:rPr>
        <w:t xml:space="preserve">The City currently assesses pre-1978 housing for the homebuyers and the owner-occupied rehabilitation program. Pre-and </w:t>
      </w:r>
      <w:proofErr w:type="spellStart"/>
      <w:r>
        <w:rPr>
          <w:rFonts w:cs="Arial"/>
        </w:rPr>
        <w:t>post testing</w:t>
      </w:r>
      <w:proofErr w:type="spellEnd"/>
      <w:r>
        <w:rPr>
          <w:rFonts w:cs="Arial"/>
        </w:rPr>
        <w:t xml:space="preserve"> and assessments are conducted as needed. In addition, efforts are made to educate program participants on the hazards of lead by providing resource materials at the time of program application.</w:t>
      </w:r>
    </w:p>
    <w:p w:rsidR="001711ED" w:rsidRDefault="00FF78B4">
      <w:pPr>
        <w:widowControl w:val="0"/>
        <w:rPr>
          <w:b/>
          <w:sz w:val="24"/>
          <w:szCs w:val="24"/>
        </w:rPr>
      </w:pPr>
      <w:r>
        <w:rPr>
          <w:b/>
          <w:sz w:val="24"/>
          <w:szCs w:val="24"/>
        </w:rPr>
        <w:lastRenderedPageBreak/>
        <w:t>Actions taken to reduce the number of poverty-level families. 91.220(k); 91.320(j)</w:t>
      </w:r>
    </w:p>
    <w:p w:rsidR="001711ED" w:rsidRDefault="00FF78B4">
      <w:pPr>
        <w:widowControl w:val="0"/>
        <w:spacing w:beforeAutospacing="1" w:afterAutospacing="1"/>
        <w:rPr>
          <w:rFonts w:cs="Arial"/>
        </w:rPr>
      </w:pPr>
      <w:r>
        <w:rPr>
          <w:rFonts w:cs="Arial"/>
        </w:rPr>
        <w:t xml:space="preserve">In December 2022, the City of Gastonia conducted an affordable housing study. Final recommendations are anticipated in November 2022, and will provide opportunity for increased housing choice </w:t>
      </w:r>
      <w:proofErr w:type="gramStart"/>
      <w:r>
        <w:rPr>
          <w:rFonts w:cs="Arial"/>
        </w:rPr>
        <w:t>options  to</w:t>
      </w:r>
      <w:proofErr w:type="gramEnd"/>
      <w:r>
        <w:rPr>
          <w:rFonts w:cs="Arial"/>
        </w:rPr>
        <w:t xml:space="preserve"> further reduce the number of </w:t>
      </w:r>
      <w:proofErr w:type="spellStart"/>
      <w:r>
        <w:rPr>
          <w:rFonts w:cs="Arial"/>
        </w:rPr>
        <w:t>povety</w:t>
      </w:r>
      <w:proofErr w:type="spellEnd"/>
      <w:r>
        <w:rPr>
          <w:rFonts w:cs="Arial"/>
        </w:rPr>
        <w:t>-level families.</w:t>
      </w:r>
    </w:p>
    <w:p w:rsidR="001711ED" w:rsidRDefault="00FF78B4">
      <w:pPr>
        <w:widowControl w:val="0"/>
        <w:rPr>
          <w:b/>
          <w:sz w:val="24"/>
          <w:szCs w:val="24"/>
        </w:rPr>
      </w:pPr>
      <w:r>
        <w:rPr>
          <w:b/>
          <w:sz w:val="24"/>
          <w:szCs w:val="24"/>
        </w:rPr>
        <w:t>Actions taken to develop institutional structure. 91.220(k); 91.320(j)</w:t>
      </w:r>
    </w:p>
    <w:p w:rsidR="001711ED" w:rsidRDefault="00FF78B4">
      <w:pPr>
        <w:widowControl w:val="0"/>
        <w:spacing w:beforeAutospacing="1" w:afterAutospacing="1"/>
        <w:rPr>
          <w:rFonts w:cs="Arial"/>
        </w:rPr>
      </w:pPr>
      <w:r>
        <w:rPr>
          <w:rFonts w:cs="Arial"/>
        </w:rPr>
        <w:t xml:space="preserve">The two most notable actions continue with the Community Housing Development Organization (CHDO) and the Lead Agency for the Continuum of Care. Belmont Community Development Corporation is the designated CDHO for a project on </w:t>
      </w:r>
      <w:proofErr w:type="spellStart"/>
      <w:r>
        <w:rPr>
          <w:rFonts w:cs="Arial"/>
        </w:rPr>
        <w:t>Norment</w:t>
      </w:r>
      <w:proofErr w:type="spellEnd"/>
      <w:r>
        <w:rPr>
          <w:rFonts w:cs="Arial"/>
        </w:rPr>
        <w:t xml:space="preserve"> Ave. in Gastonia. The City of Gastonia has worked closely with Belmont CDC in providing technical assistance. </w:t>
      </w:r>
      <w:proofErr w:type="spellStart"/>
      <w:r>
        <w:rPr>
          <w:rFonts w:cs="Arial"/>
        </w:rPr>
        <w:t>HealthNet</w:t>
      </w:r>
      <w:proofErr w:type="spellEnd"/>
      <w:r>
        <w:rPr>
          <w:rFonts w:cs="Arial"/>
        </w:rPr>
        <w:t xml:space="preserve"> Gaston is the Lead Agency for the Continuum of Care and the City of Gastonia is providing technical assistance as needed to help guide the continued structural improvement of the Continuum of Care.</w:t>
      </w:r>
    </w:p>
    <w:p w:rsidR="001711ED" w:rsidRDefault="00FF78B4">
      <w:pPr>
        <w:widowControl w:val="0"/>
        <w:rPr>
          <w:b/>
          <w:sz w:val="24"/>
          <w:szCs w:val="24"/>
        </w:rPr>
      </w:pPr>
      <w:r>
        <w:rPr>
          <w:b/>
          <w:sz w:val="24"/>
          <w:szCs w:val="24"/>
        </w:rPr>
        <w:t>Actions taken to enhance coordination between public and private housing and social service agencies. 91.220(k); 91.320(j)</w:t>
      </w:r>
    </w:p>
    <w:p w:rsidR="001711ED" w:rsidRDefault="00FF78B4">
      <w:pPr>
        <w:widowControl w:val="0"/>
        <w:spacing w:beforeAutospacing="1" w:afterAutospacing="1"/>
        <w:rPr>
          <w:rFonts w:cs="Arial"/>
        </w:rPr>
      </w:pPr>
      <w:r>
        <w:rPr>
          <w:rFonts w:cs="Arial"/>
        </w:rPr>
        <w:t>The City of Gastonia works in partnership with Community Organizations, Public Agencies, sub-recipients, and contractors. The City of Gastonia has not had a designated CHDO in the past few years after the end of the relationship with the prior agency with the CHDO designation, Reinvestment in Communities of Gaston County, Inc. (now known as Our Neighbors, Inc.). The City of Gastonia will now be working with Belmont Community Development Corporation as a CHDO for future projects.</w:t>
      </w:r>
    </w:p>
    <w:p w:rsidR="001711ED" w:rsidRDefault="00FF78B4">
      <w:pPr>
        <w:widowControl w:val="0"/>
        <w:spacing w:beforeAutospacing="1" w:afterAutospacing="1"/>
        <w:rPr>
          <w:rFonts w:cs="Arial"/>
        </w:rPr>
      </w:pPr>
      <w:proofErr w:type="spellStart"/>
      <w:r>
        <w:rPr>
          <w:rFonts w:cs="Arial"/>
        </w:rPr>
        <w:t>HealthNet</w:t>
      </w:r>
      <w:proofErr w:type="spellEnd"/>
      <w:r>
        <w:rPr>
          <w:rFonts w:cs="Arial"/>
        </w:rPr>
        <w:t xml:space="preserve"> Gaston served in the capacity of </w:t>
      </w:r>
      <w:proofErr w:type="spellStart"/>
      <w:r>
        <w:rPr>
          <w:rFonts w:cs="Arial"/>
        </w:rPr>
        <w:t>subrecipient</w:t>
      </w:r>
      <w:proofErr w:type="spellEnd"/>
      <w:r>
        <w:rPr>
          <w:rFonts w:cs="Arial"/>
        </w:rPr>
        <w:t xml:space="preserve"> administering the Tenant-Based Rental Assistance Program in Gaston County. </w:t>
      </w:r>
    </w:p>
    <w:p w:rsidR="001711ED" w:rsidRDefault="00FF78B4">
      <w:pPr>
        <w:widowControl w:val="0"/>
        <w:spacing w:beforeAutospacing="1" w:afterAutospacing="1"/>
        <w:rPr>
          <w:rFonts w:cs="Arial"/>
        </w:rPr>
      </w:pPr>
      <w:r>
        <w:rPr>
          <w:rFonts w:cs="Arial"/>
        </w:rPr>
        <w:t>The City of Gastonia continues to partner with Habitat for Humanity of Gaston County to increase the stock of homeownership opportunities for low-income families by providing property and/or site preparation work for new housing construction.  During this fiscal year, through the collaborative efforts, Habitat will partner with the City of Gastonia for homeownership candidates for their newest development, Dixon Village. </w:t>
      </w:r>
    </w:p>
    <w:p w:rsidR="001711ED" w:rsidRDefault="00FF78B4">
      <w:pPr>
        <w:widowControl w:val="0"/>
        <w:spacing w:beforeAutospacing="1" w:afterAutospacing="1"/>
        <w:rPr>
          <w:rFonts w:cs="Arial"/>
        </w:rPr>
      </w:pPr>
      <w:r>
        <w:rPr>
          <w:rFonts w:cs="Arial"/>
        </w:rPr>
        <w:t>Private for-profit partners include multiple financial institutions, contractors and other corporations.</w:t>
      </w:r>
    </w:p>
    <w:p w:rsidR="001711ED" w:rsidRDefault="00FF78B4">
      <w:pPr>
        <w:widowControl w:val="0"/>
        <w:spacing w:beforeAutospacing="1" w:afterAutospacing="1"/>
        <w:rPr>
          <w:rFonts w:cs="Arial"/>
        </w:rPr>
      </w:pPr>
      <w:r>
        <w:rPr>
          <w:rFonts w:cs="Arial"/>
        </w:rPr>
        <w:t>The City of Gastonia, in continued collaboration with the Gaston-Lincoln-Cleveland Continuum of Care, maintains its commitment to fostering community-wide coordination among public agencies, private housing providers, and social service agencies to address affordable housing and guide those in need towards available services. These ongoing efforts have recently included a strategic partnership between the Gaston-Lincoln-Cleveland Continuum of Care, the Gastonia Housing Authority, and private housing providers to implement and administer Emergency Housing Vouchers (EHV) made available through the American Rescue Plan Act (ARPA).</w:t>
      </w:r>
    </w:p>
    <w:p w:rsidR="001711ED" w:rsidRDefault="00FF78B4">
      <w:pPr>
        <w:widowControl w:val="0"/>
        <w:spacing w:beforeAutospacing="1" w:afterAutospacing="1"/>
        <w:rPr>
          <w:rFonts w:cs="Arial"/>
        </w:rPr>
      </w:pPr>
      <w:r>
        <w:rPr>
          <w:rFonts w:cs="Arial"/>
        </w:rPr>
        <w:lastRenderedPageBreak/>
        <w:t xml:space="preserve">The City of Gastonia collaborated with the United Way of Gaston County for utility rental assistance and the Salvation Army for rental </w:t>
      </w:r>
      <w:proofErr w:type="spellStart"/>
      <w:r>
        <w:rPr>
          <w:rFonts w:cs="Arial"/>
        </w:rPr>
        <w:t>assistanceFo</w:t>
      </w:r>
      <w:proofErr w:type="spellEnd"/>
      <w:r>
        <w:rPr>
          <w:rFonts w:cs="Arial"/>
        </w:rPr>
        <w:t xml:space="preserve"> Utility and Rental assistance </w:t>
      </w:r>
      <w:proofErr w:type="spellStart"/>
      <w:proofErr w:type="gramStart"/>
      <w:r>
        <w:rPr>
          <w:rFonts w:cs="Arial"/>
        </w:rPr>
        <w:t>programs,reaffirming</w:t>
      </w:r>
      <w:proofErr w:type="spellEnd"/>
      <w:proofErr w:type="gramEnd"/>
      <w:r>
        <w:rPr>
          <w:rFonts w:cs="Arial"/>
        </w:rPr>
        <w:t xml:space="preserve"> their commitment to assist the low- to moderate-income population with vital services.</w:t>
      </w:r>
    </w:p>
    <w:p w:rsidR="001711ED" w:rsidRDefault="00FF78B4">
      <w:pPr>
        <w:widowControl w:val="0"/>
        <w:rPr>
          <w:b/>
          <w:sz w:val="24"/>
          <w:szCs w:val="24"/>
        </w:rPr>
      </w:pPr>
      <w:r>
        <w:rPr>
          <w:b/>
          <w:sz w:val="24"/>
          <w:szCs w:val="24"/>
        </w:rPr>
        <w:t>Identify actions taken to overcome the effects of any impediments identified in the jurisdictions analysis of impediments to fair housing choice.  91.520(a)</w:t>
      </w:r>
    </w:p>
    <w:p w:rsidR="001711ED" w:rsidRDefault="00FF78B4">
      <w:pPr>
        <w:widowControl w:val="0"/>
        <w:spacing w:beforeAutospacing="1" w:afterAutospacing="1"/>
        <w:rPr>
          <w:rFonts w:cs="Arial"/>
        </w:rPr>
      </w:pPr>
      <w:r>
        <w:rPr>
          <w:rFonts w:cs="Arial"/>
        </w:rPr>
        <w:t>To better education residents about fair housing and to increase the opportunity for greater housing choice, staff made efforts to actively provide education to schools concerning fair housing.  Due to COVID, these methods have been temporarily suspended.  In April 2023, as part of Fair Housing Month, the City of Gastonia organized an educational event with a special focus on school-aged children aged 5 to 15 participating in an after-school program. This initiative aimed to raise awareness and educate young minds about fair housing principles. Impressively, the event successfully reached and educated approximately 27 children, fostering a culture of fairness and inclusivity from a young age.</w:t>
      </w:r>
    </w:p>
    <w:p w:rsidR="001711ED" w:rsidRDefault="00FF78B4">
      <w:pPr>
        <w:widowControl w:val="0"/>
        <w:spacing w:beforeAutospacing="1" w:afterAutospacing="1"/>
        <w:rPr>
          <w:rFonts w:cs="Arial"/>
        </w:rPr>
      </w:pPr>
      <w:r>
        <w:rPr>
          <w:rFonts w:cs="Arial"/>
        </w:rPr>
        <w:t xml:space="preserve">The City of Gastonia upholds its commitment to fair housing by maintaining a dedicated Fair Housing information phone line. This resource serves as a screening tool to assist </w:t>
      </w:r>
      <w:proofErr w:type="gramStart"/>
      <w:r>
        <w:rPr>
          <w:rFonts w:cs="Arial"/>
        </w:rPr>
        <w:t>individuals  and</w:t>
      </w:r>
      <w:proofErr w:type="gramEnd"/>
      <w:r>
        <w:rPr>
          <w:rFonts w:cs="Arial"/>
        </w:rPr>
        <w:t xml:space="preserve"> families who suspect they may have encountered housing discrimination.  Importantly, this line also extends its reach to address a spectrum of housing-related inquiries, providing valuable referrals to legal assistance, non-profit organizations, and other relevant resources. On average, call volume ranges from 15 to 17 calls per </w:t>
      </w:r>
      <w:proofErr w:type="spellStart"/>
      <w:proofErr w:type="gramStart"/>
      <w:r>
        <w:rPr>
          <w:rFonts w:cs="Arial"/>
        </w:rPr>
        <w:t>weekwith</w:t>
      </w:r>
      <w:proofErr w:type="spellEnd"/>
      <w:r>
        <w:rPr>
          <w:rFonts w:cs="Arial"/>
        </w:rPr>
        <w:t>  less</w:t>
      </w:r>
      <w:proofErr w:type="gramEnd"/>
      <w:r>
        <w:rPr>
          <w:rFonts w:cs="Arial"/>
        </w:rPr>
        <w:t xml:space="preserve"> than 1%  of all callers experiencing actual fair housing violations.</w:t>
      </w:r>
    </w:p>
    <w:p w:rsidR="001711ED" w:rsidRDefault="00FF78B4">
      <w:pPr>
        <w:pStyle w:val="Heading2"/>
        <w:pageBreakBefore/>
        <w:widowControl w:val="0"/>
        <w:rPr>
          <w:rFonts w:ascii="Calibri" w:hAnsi="Calibri"/>
          <w:i w:val="0"/>
        </w:rPr>
      </w:pPr>
      <w:r>
        <w:rPr>
          <w:rFonts w:ascii="Calibri" w:hAnsi="Calibri"/>
          <w:i w:val="0"/>
        </w:rPr>
        <w:lastRenderedPageBreak/>
        <w:t>CR-40 - Monitoring 91.220 and 91.230</w:t>
      </w:r>
    </w:p>
    <w:p w:rsidR="001711ED" w:rsidRDefault="00FF78B4">
      <w:pPr>
        <w:widowControl w:val="0"/>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rsidR="001711ED" w:rsidRDefault="001711ED">
      <w:pPr>
        <w:widowControl w:val="0"/>
        <w:rPr>
          <w:rFonts w:cs="Arial"/>
        </w:rPr>
      </w:pPr>
    </w:p>
    <w:p w:rsidR="001711ED" w:rsidRDefault="001711ED">
      <w:pPr>
        <w:widowControl w:val="0"/>
        <w:rPr>
          <w:rFonts w:cs="Arial"/>
        </w:rPr>
      </w:pPr>
    </w:p>
    <w:p w:rsidR="001711ED" w:rsidRDefault="00FF78B4">
      <w:pPr>
        <w:widowControl w:val="0"/>
        <w:spacing w:beforeAutospacing="1" w:afterAutospacing="1"/>
        <w:rPr>
          <w:rFonts w:cs="Arial"/>
        </w:rPr>
      </w:pPr>
      <w:r>
        <w:rPr>
          <w:rFonts w:cs="Arial"/>
        </w:rPr>
        <w:t>Upon completion and close-out of an activity, a monitoring case file is established that denotes the affordability period and the compliance requirements for the activity. To ensure long-term compliance, the project is added to the monitoring schedule and projects are monitored as required. All activities are conducted in accordance with program regulations and current monitoring policies. The City of Gastonia has a structured set of standards and procedures to oversee activities aligned with its strategic plan and ensure ongoing compliance with program requirements. This approach involves routine program assessments, thorough documentation, and diligent progress tracking. </w:t>
      </w:r>
    </w:p>
    <w:p w:rsidR="001711ED" w:rsidRDefault="00FF78B4">
      <w:pPr>
        <w:widowControl w:val="0"/>
        <w:spacing w:beforeAutospacing="1" w:afterAutospacing="1"/>
        <w:rPr>
          <w:rFonts w:cs="Arial"/>
        </w:rPr>
      </w:pPr>
      <w:r>
        <w:rPr>
          <w:rFonts w:cs="Arial"/>
        </w:rPr>
        <w:t xml:space="preserve">Minority business outreach efforts include support and intentional inclusion of Minority Business Enterprise (MBE) and small business in the competitive bid process.  To date the City of Gastonia does not have a minority recruitment program in place. Gaston County government has implemented a program to conduct outreach to </w:t>
      </w:r>
      <w:proofErr w:type="spellStart"/>
      <w:r>
        <w:rPr>
          <w:rFonts w:cs="Arial"/>
        </w:rPr>
        <w:t>miniority</w:t>
      </w:r>
      <w:proofErr w:type="spellEnd"/>
      <w:r>
        <w:rPr>
          <w:rFonts w:cs="Arial"/>
        </w:rPr>
        <w:t xml:space="preserve"> businesses. The City of Gastonia supports Gaston County government's programming efforts where possible.</w:t>
      </w:r>
    </w:p>
    <w:p w:rsidR="001711ED" w:rsidRDefault="00FF78B4">
      <w:pPr>
        <w:widowControl w:val="0"/>
        <w:spacing w:beforeAutospacing="1" w:afterAutospacing="1"/>
        <w:rPr>
          <w:rFonts w:cs="Arial"/>
        </w:rPr>
      </w:pPr>
      <w:r>
        <w:rPr>
          <w:rFonts w:cs="Arial"/>
        </w:rPr>
        <w:t xml:space="preserve">Comprehensive planning requirements include intermittent reviews of the Consolidated Plan in preparing for Annual Plan preparation in </w:t>
      </w:r>
      <w:proofErr w:type="spellStart"/>
      <w:r>
        <w:rPr>
          <w:rFonts w:cs="Arial"/>
        </w:rPr>
        <w:t>coorelation</w:t>
      </w:r>
      <w:proofErr w:type="spellEnd"/>
      <w:r>
        <w:rPr>
          <w:rFonts w:cs="Arial"/>
        </w:rPr>
        <w:t xml:space="preserve"> with current City's strategic plan.  </w:t>
      </w:r>
    </w:p>
    <w:p w:rsidR="001711ED" w:rsidRDefault="001711ED">
      <w:pPr>
        <w:widowControl w:val="0"/>
        <w:spacing w:beforeAutospacing="1" w:afterAutospacing="1"/>
        <w:rPr>
          <w:rFonts w:cs="Arial"/>
        </w:rPr>
      </w:pPr>
    </w:p>
    <w:p w:rsidR="001711ED" w:rsidRDefault="001711ED">
      <w:pPr>
        <w:widowControl w:val="0"/>
        <w:rPr>
          <w:rFonts w:cs="Arial"/>
        </w:rPr>
      </w:pPr>
    </w:p>
    <w:p w:rsidR="001711ED" w:rsidRDefault="00FF78B4">
      <w:pPr>
        <w:widowControl w:val="0"/>
        <w:rPr>
          <w:b/>
          <w:sz w:val="24"/>
          <w:szCs w:val="24"/>
        </w:rPr>
      </w:pPr>
      <w:r>
        <w:rPr>
          <w:b/>
          <w:sz w:val="24"/>
          <w:szCs w:val="24"/>
        </w:rPr>
        <w:t>Citizen Participation Plan 91.105(d); 91.115(d)</w:t>
      </w:r>
    </w:p>
    <w:p w:rsidR="001711ED" w:rsidRDefault="00FF78B4">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rsidR="001711ED" w:rsidRDefault="00FF78B4">
      <w:pPr>
        <w:spacing w:beforeAutospacing="1" w:afterAutospacing="1"/>
      </w:pPr>
      <w:r>
        <w:t xml:space="preserve">Efforts to provide citizens with reasonable notice and an opportunity to comment on performance reports are done in accordance with the current Citizen Participation </w:t>
      </w:r>
      <w:proofErr w:type="spellStart"/>
      <w:proofErr w:type="gramStart"/>
      <w:r>
        <w:t>Plan,revised</w:t>
      </w:r>
      <w:proofErr w:type="spellEnd"/>
      <w:proofErr w:type="gramEnd"/>
      <w:r>
        <w:t xml:space="preserve"> 2019. A 30-day public comment period is established for both the Annual Action Plan and the Consolidated Annual Performance Evaluation Report. A minimum 10-day advance notice is published notifying citizens of the opportunity to participate, review and/or comment along with the date, time, and location to review the plans and/or attend the public hearings. Notices are published in the local newspaper and on the </w:t>
      </w:r>
      <w:r>
        <w:lastRenderedPageBreak/>
        <w:t>City's website. In addition, the Citizens Advisory Board consists of 1 member selected by the Council to represent each of the City’s six wards or other areas deemed appropriate by the Council. Additionally, there shall be two at-large members appointed by Gaston County Commission to represent the county’s unincorporated areas.  Board members are extended the opportunity to review proposed plans and activities and comment accordingly. The board meets quarterly and is notified of public hearings for all plans.</w:t>
      </w:r>
    </w:p>
    <w:p w:rsidR="001711ED" w:rsidRDefault="001711ED">
      <w:pPr>
        <w:spacing w:beforeAutospacing="1" w:afterAutospacing="1"/>
      </w:pPr>
    </w:p>
    <w:p w:rsidR="001711ED" w:rsidRDefault="00FF78B4">
      <w:pPr>
        <w:keepNext/>
        <w:pageBreakBefore/>
        <w:widowControl w:val="0"/>
        <w:spacing w:before="240" w:after="60"/>
        <w:outlineLvl w:val="1"/>
        <w:rPr>
          <w:rFonts w:cs="Arial"/>
          <w:b/>
          <w:bCs/>
          <w:iCs/>
          <w:sz w:val="28"/>
          <w:szCs w:val="28"/>
        </w:rPr>
      </w:pPr>
      <w:r>
        <w:rPr>
          <w:rFonts w:cs="Arial"/>
          <w:b/>
          <w:bCs/>
          <w:iCs/>
          <w:sz w:val="28"/>
          <w:szCs w:val="28"/>
        </w:rPr>
        <w:lastRenderedPageBreak/>
        <w:t>CR-45 - CDBG 91.520(c)</w:t>
      </w:r>
    </w:p>
    <w:p w:rsidR="001711ED" w:rsidRDefault="00FF78B4">
      <w:pPr>
        <w:widowControl w:val="0"/>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rsidR="001711ED" w:rsidRDefault="00FF78B4">
      <w:pPr>
        <w:widowControl w:val="0"/>
        <w:spacing w:beforeAutospacing="1" w:afterAutospacing="1"/>
        <w:rPr>
          <w:rFonts w:cs="Arial"/>
        </w:rPr>
      </w:pPr>
      <w:r>
        <w:rPr>
          <w:rFonts w:cs="Arial"/>
        </w:rPr>
        <w:t>COVID-19 impacts are declining and opportunity to expand programming continues to increase.    Current market volatility continues to impact affordable housing for all citizens.  Low-and moderate-income citizens continue to have a greater level of difficulty in acquiring or maintaining properties.  Staff continues to explore options to best benefit low- to moderate-individuals and families impacted by current market conditions.</w:t>
      </w:r>
    </w:p>
    <w:p w:rsidR="001711ED" w:rsidRDefault="00FF78B4">
      <w:pPr>
        <w:widowControl w:val="0"/>
        <w:spacing w:beforeAutospacing="1" w:afterAutospacing="1"/>
        <w:rPr>
          <w:rFonts w:cs="Arial"/>
        </w:rPr>
      </w:pPr>
      <w:r>
        <w:rPr>
          <w:rFonts w:cs="Arial"/>
        </w:rPr>
        <w:t>The City of Gastonia does not plan to make any significant modifications to the program objectives.</w:t>
      </w:r>
    </w:p>
    <w:p w:rsidR="001711ED" w:rsidRDefault="00FF78B4">
      <w:pPr>
        <w:widowControl w:val="0"/>
        <w:rPr>
          <w:b/>
          <w:sz w:val="24"/>
          <w:szCs w:val="24"/>
        </w:rPr>
      </w:pPr>
      <w:r>
        <w:rPr>
          <w:b/>
          <w:sz w:val="24"/>
          <w:szCs w:val="24"/>
        </w:rPr>
        <w:t>Does this Jurisdiction have any open Brownfields Economic Development Initiative (BEDI) grants?</w:t>
      </w:r>
    </w:p>
    <w:p w:rsidR="001711ED" w:rsidRDefault="00FF78B4">
      <w:pPr>
        <w:widowControl w:val="0"/>
        <w:spacing w:beforeAutospacing="1" w:afterAutospacing="1"/>
        <w:rPr>
          <w:rFonts w:cs="Arial"/>
        </w:rPr>
      </w:pPr>
      <w:r>
        <w:rPr>
          <w:rFonts w:cs="Arial"/>
        </w:rPr>
        <w:t>No</w:t>
      </w:r>
    </w:p>
    <w:p w:rsidR="001711ED" w:rsidRDefault="00FF78B4">
      <w:pPr>
        <w:widowControl w:val="0"/>
        <w:rPr>
          <w:b/>
          <w:sz w:val="24"/>
          <w:szCs w:val="24"/>
        </w:rPr>
      </w:pPr>
      <w:r>
        <w:rPr>
          <w:b/>
          <w:sz w:val="24"/>
          <w:szCs w:val="24"/>
        </w:rPr>
        <w:t xml:space="preserve">[BEDI </w:t>
      </w:r>
      <w:proofErr w:type="gramStart"/>
      <w:r>
        <w:rPr>
          <w:b/>
          <w:sz w:val="24"/>
          <w:szCs w:val="24"/>
        </w:rPr>
        <w:t>grantees]  Describe</w:t>
      </w:r>
      <w:proofErr w:type="gramEnd"/>
      <w:r>
        <w:rPr>
          <w:b/>
          <w:sz w:val="24"/>
          <w:szCs w:val="24"/>
        </w:rPr>
        <w:t xml:space="preserve"> accomplishments and program outcomes during the last year.</w:t>
      </w:r>
    </w:p>
    <w:p w:rsidR="001711ED" w:rsidRDefault="001711ED">
      <w:pPr>
        <w:widowControl w:val="0"/>
        <w:rPr>
          <w:rFonts w:cs="Arial"/>
        </w:rPr>
      </w:pPr>
    </w:p>
    <w:p w:rsidR="001711ED" w:rsidRDefault="001711ED"/>
    <w:p w:rsidR="001711ED" w:rsidRDefault="001711ED"/>
    <w:p w:rsidR="001711ED" w:rsidRDefault="00FF78B4">
      <w:pPr>
        <w:pStyle w:val="Heading2"/>
        <w:pageBreakBefore/>
        <w:widowControl w:val="0"/>
        <w:rPr>
          <w:rFonts w:ascii="Calibri" w:hAnsi="Calibri"/>
          <w:i w:val="0"/>
        </w:rPr>
      </w:pPr>
      <w:r>
        <w:rPr>
          <w:rFonts w:ascii="Calibri" w:hAnsi="Calibri"/>
          <w:i w:val="0"/>
        </w:rPr>
        <w:lastRenderedPageBreak/>
        <w:t>CR-50 - HOME 24 CFR 91.520(d)</w:t>
      </w:r>
    </w:p>
    <w:p w:rsidR="001711ED" w:rsidRDefault="00FF78B4">
      <w:pPr>
        <w:widowControl w:val="0"/>
        <w:rPr>
          <w:b/>
          <w:sz w:val="24"/>
          <w:szCs w:val="24"/>
        </w:rPr>
      </w:pPr>
      <w:r>
        <w:rPr>
          <w:b/>
          <w:sz w:val="24"/>
          <w:szCs w:val="24"/>
        </w:rPr>
        <w:t xml:space="preserve">Include the results of on-site inspections of affordable rental housing assisted under the program to determine compliance with housing codes and other applicable regulations </w:t>
      </w:r>
    </w:p>
    <w:p w:rsidR="001711ED" w:rsidRDefault="00FF78B4">
      <w:pPr>
        <w:widowControl w:val="0"/>
        <w:rPr>
          <w:sz w:val="24"/>
          <w:szCs w:val="24"/>
        </w:rPr>
      </w:pPr>
      <w:r>
        <w:rPr>
          <w:sz w:val="24"/>
          <w:szCs w:val="24"/>
        </w:rPr>
        <w:t>Please list those projects that should have been inspected on-site this program year based upon the schedule in 24 CFR §92.504(d). Indicate which of these were inspected and a summary of issues that were detected during the inspection. For those that were not inspected, please indicate the reason and how you will remedy the situation.</w:t>
      </w:r>
    </w:p>
    <w:p w:rsidR="001711ED" w:rsidRDefault="00FF78B4">
      <w:pPr>
        <w:widowControl w:val="0"/>
        <w:spacing w:beforeAutospacing="1" w:afterAutospacing="1"/>
        <w:rPr>
          <w:rFonts w:cs="Arial"/>
        </w:rPr>
      </w:pPr>
      <w:r>
        <w:rPr>
          <w:rFonts w:cs="Arial"/>
        </w:rPr>
        <w:t>Gastonia has opted for a rigorous monitoring regimen, wherein they conduct annual reviews of all properties. This approach guarantees ongoing compliance of units and swift resolution of any concerns, preventing lengthy periods of unawareness among staff. In the fiscal year 2022-23 monitoring process, all HOME projects were in compliance, except for four. The staff is actively collaborating with the recipients of funding to address these non-compliance issues. They are committed to offering technical support and guidance to resolve these matters and, if required, will employ enforcement measures to ensure compliance. As shown below, seven properties failed the initial HQS Inspection. The reasons for initial failure can be condensed down to “non-functional components” and/or “failed components”.</w:t>
      </w:r>
    </w:p>
    <w:p w:rsidR="001711ED" w:rsidRDefault="00FF78B4">
      <w:pPr>
        <w:widowControl w:val="0"/>
        <w:rPr>
          <w:rFonts w:cs="Arial"/>
        </w:rPr>
      </w:pPr>
      <w:r>
        <w:rPr>
          <w:rFonts w:cs="Arial"/>
          <w:b/>
          <w:noProof/>
        </w:rPr>
        <w:lastRenderedPageBreak/>
        <w:drawing>
          <wp:inline distT="0" distB="0" distL="0" distR="0">
            <wp:extent cx="5943600" cy="71360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7136085"/>
                    </a:xfrm>
                    <a:prstGeom prst="rect">
                      <a:avLst/>
                    </a:prstGeom>
                  </pic:spPr>
                </pic:pic>
              </a:graphicData>
            </a:graphic>
          </wp:inline>
        </w:drawing>
      </w:r>
      <w:r>
        <w:rPr>
          <w:rFonts w:cs="Arial"/>
          <w:b/>
        </w:rPr>
        <w:br/>
        <w:t>HOME Monitoring ÿ HQS</w:t>
      </w:r>
    </w:p>
    <w:p w:rsidR="001711ED" w:rsidRDefault="00FF78B4">
      <w:pPr>
        <w:widowControl w:val="0"/>
        <w:rPr>
          <w:b/>
          <w:sz w:val="24"/>
          <w:szCs w:val="24"/>
        </w:rPr>
      </w:pPr>
      <w:r>
        <w:rPr>
          <w:b/>
          <w:sz w:val="24"/>
          <w:szCs w:val="24"/>
        </w:rPr>
        <w:t>Provide an assessment of the jurisdiction's affirmative marketing actions for HOME units. 24 CFR 91.520(e) and 24 CFR 92.351(a)</w:t>
      </w:r>
    </w:p>
    <w:p w:rsidR="001711ED" w:rsidRDefault="00FF78B4">
      <w:pPr>
        <w:widowControl w:val="0"/>
        <w:spacing w:beforeAutospacing="1" w:afterAutospacing="1"/>
        <w:rPr>
          <w:rFonts w:cs="Arial"/>
        </w:rPr>
      </w:pPr>
      <w:r>
        <w:rPr>
          <w:rFonts w:cs="Arial"/>
        </w:rPr>
        <w:lastRenderedPageBreak/>
        <w:t>The City of Gastonia continues to support and encourage the use of affirmative marketing for HOME-assisted units. These efforts help to support the opportunity for fair and equal housing for all persons within the community.</w:t>
      </w:r>
    </w:p>
    <w:p w:rsidR="001711ED" w:rsidRDefault="00FF78B4">
      <w:pPr>
        <w:widowControl w:val="0"/>
        <w:spacing w:beforeAutospacing="1" w:afterAutospacing="1"/>
        <w:rPr>
          <w:rFonts w:cs="Arial"/>
        </w:rPr>
      </w:pPr>
      <w:r>
        <w:rPr>
          <w:rFonts w:cs="Arial"/>
        </w:rPr>
        <w:t>The current affirmative marketing plan addresses how the City will effectively market housing and offer equal housing opportunities regardless of race, color, national origin, religion, sex, familial status, or disability. Affirmative marketing actions helps owners/agents (respondents) effectively market the availability of housing opportunities to individuals of both minority and non-minority groups that are least likely to apply for occupancy.  Currently the City of Gastonia makes every effort to meet this requirement within all of its housing activities, by providing transparency of all requirements, making information accessible and providing the same information and opportunity to all interested participants.</w:t>
      </w:r>
    </w:p>
    <w:p w:rsidR="001711ED" w:rsidRDefault="00FF78B4">
      <w:pPr>
        <w:widowControl w:val="0"/>
        <w:rPr>
          <w:b/>
          <w:sz w:val="24"/>
          <w:szCs w:val="24"/>
        </w:rPr>
      </w:pPr>
      <w:r>
        <w:rPr>
          <w:b/>
          <w:sz w:val="24"/>
          <w:szCs w:val="24"/>
        </w:rPr>
        <w:t>Refer to IDIS reports to describe the amount and use of program income for projects, including the number of projects and owner and tenant characteristics</w:t>
      </w:r>
    </w:p>
    <w:p w:rsidR="001711ED" w:rsidRDefault="00FF78B4">
      <w:pPr>
        <w:widowControl w:val="0"/>
        <w:spacing w:beforeAutospacing="1" w:afterAutospacing="1"/>
        <w:rPr>
          <w:rFonts w:cs="Arial"/>
        </w:rPr>
      </w:pPr>
      <w:r>
        <w:rPr>
          <w:rFonts w:cs="Arial"/>
        </w:rPr>
        <w:t xml:space="preserve">$12,736.76 of the HOME program income was spent on Down Payment Assistance for two individuals. One buyer was a single, non-elderly person who identified their race as "Black or African American". The other buyer was an elderly person who identified their race as "White". $35,195.76 of the HOME program income was spent on Tenant Based Rental Assistance. Of the families receiving assistance through TBRA, four families identified their race as "Black or African American", two families identified their face as "White", and two families identified their race as "Asian". One family identified "Hispanic" as their ethnicity. Seven of the families receiving assistance through TBRA were within 0-30% of the AMI. One family </w:t>
      </w:r>
      <w:proofErr w:type="spellStart"/>
      <w:r>
        <w:rPr>
          <w:rFonts w:cs="Arial"/>
        </w:rPr>
        <w:t>recieving</w:t>
      </w:r>
      <w:proofErr w:type="spellEnd"/>
      <w:r>
        <w:rPr>
          <w:rFonts w:cs="Arial"/>
        </w:rPr>
        <w:t xml:space="preserve"> assistance through TBRA were within 30-50% of AMI.</w:t>
      </w:r>
    </w:p>
    <w:p w:rsidR="001711ED" w:rsidRDefault="00FF78B4">
      <w:pPr>
        <w:widowControl w:val="0"/>
        <w:rPr>
          <w:b/>
          <w:sz w:val="24"/>
          <w:szCs w:val="24"/>
        </w:rPr>
      </w:pPr>
      <w:r>
        <w:rPr>
          <w:b/>
          <w:sz w:val="24"/>
          <w:szCs w:val="24"/>
        </w:rPr>
        <w:t>Describe other actions taken to foster and maintain affordable housing. 24 CFR 91.220(k) (STATES ONLY: Including the coordination of LIHTC with the development of affordable housing). 24 CFR 91.320(j)</w:t>
      </w:r>
    </w:p>
    <w:p w:rsidR="001711ED" w:rsidRDefault="001711ED">
      <w:pPr>
        <w:widowControl w:val="0"/>
        <w:rPr>
          <w:rFonts w:cs="Arial"/>
        </w:rPr>
      </w:pPr>
    </w:p>
    <w:p w:rsidR="001711ED" w:rsidRDefault="001711ED">
      <w:pPr>
        <w:widowControl w:val="0"/>
        <w:rPr>
          <w:rFonts w:cs="Arial"/>
          <w:szCs w:val="26"/>
        </w:rPr>
      </w:pPr>
    </w:p>
    <w:p w:rsidR="001711ED" w:rsidRDefault="001711ED"/>
    <w:p w:rsidR="001711ED" w:rsidRDefault="001711ED"/>
    <w:p w:rsidR="001711ED" w:rsidRDefault="00FF78B4">
      <w:pPr>
        <w:pStyle w:val="Heading2"/>
        <w:keepNext w:val="0"/>
        <w:pageBreakBefore/>
        <w:widowControl w:val="0"/>
        <w:rPr>
          <w:rFonts w:ascii="Calibri" w:hAnsi="Calibri"/>
          <w:i w:val="0"/>
        </w:rPr>
      </w:pPr>
      <w:r>
        <w:rPr>
          <w:rFonts w:ascii="Calibri" w:hAnsi="Calibri"/>
          <w:i w:val="0"/>
        </w:rPr>
        <w:lastRenderedPageBreak/>
        <w:t>CR-58 – Section 3</w:t>
      </w:r>
    </w:p>
    <w:p w:rsidR="001711ED" w:rsidRDefault="00FF78B4">
      <w:pPr>
        <w:widowControl w:val="0"/>
        <w:rPr>
          <w:b/>
          <w:sz w:val="24"/>
          <w:szCs w:val="24"/>
        </w:rPr>
      </w:pPr>
      <w:r>
        <w:rPr>
          <w:b/>
          <w:sz w:val="24"/>
          <w:szCs w:val="24"/>
        </w:rPr>
        <w:t xml:space="preserve">Identify the number of individuals assisted and the types of assistance provided </w:t>
      </w:r>
    </w:p>
    <w:p w:rsidR="001711ED" w:rsidRDefault="001711ED">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1711ED">
        <w:trPr>
          <w:cantSplit/>
        </w:trPr>
        <w:tc>
          <w:tcPr>
            <w:tcW w:w="5490" w:type="dxa"/>
          </w:tcPr>
          <w:p w:rsidR="001711ED" w:rsidRDefault="00FF78B4">
            <w:pPr>
              <w:keepNext/>
              <w:widowControl w:val="0"/>
              <w:tabs>
                <w:tab w:val="left" w:pos="2070"/>
              </w:tabs>
              <w:spacing w:after="0" w:line="240" w:lineRule="auto"/>
              <w:ind w:right="162"/>
              <w:jc w:val="center"/>
              <w:rPr>
                <w:b/>
              </w:rPr>
            </w:pPr>
            <w:r>
              <w:rPr>
                <w:b/>
              </w:rPr>
              <w:t>Total Labor Hours</w:t>
            </w:r>
          </w:p>
        </w:tc>
        <w:tc>
          <w:tcPr>
            <w:tcW w:w="810" w:type="dxa"/>
          </w:tcPr>
          <w:p w:rsidR="001711ED" w:rsidRDefault="00FF78B4">
            <w:pPr>
              <w:keepNext/>
              <w:widowControl w:val="0"/>
              <w:spacing w:after="0" w:line="240" w:lineRule="auto"/>
              <w:jc w:val="center"/>
              <w:rPr>
                <w:b/>
              </w:rPr>
            </w:pPr>
            <w:r>
              <w:rPr>
                <w:b/>
              </w:rPr>
              <w:t>CDBG</w:t>
            </w:r>
          </w:p>
        </w:tc>
        <w:tc>
          <w:tcPr>
            <w:tcW w:w="900" w:type="dxa"/>
          </w:tcPr>
          <w:p w:rsidR="001711ED" w:rsidRDefault="00FF78B4">
            <w:pPr>
              <w:keepNext/>
              <w:widowControl w:val="0"/>
              <w:spacing w:after="0" w:line="240" w:lineRule="auto"/>
              <w:jc w:val="center"/>
              <w:rPr>
                <w:b/>
              </w:rPr>
            </w:pPr>
            <w:r>
              <w:rPr>
                <w:b/>
              </w:rPr>
              <w:t>HOME</w:t>
            </w:r>
          </w:p>
        </w:tc>
        <w:tc>
          <w:tcPr>
            <w:tcW w:w="720" w:type="dxa"/>
          </w:tcPr>
          <w:p w:rsidR="001711ED" w:rsidRDefault="00FF78B4">
            <w:pPr>
              <w:keepNext/>
              <w:widowControl w:val="0"/>
              <w:spacing w:after="0" w:line="240" w:lineRule="auto"/>
              <w:rPr>
                <w:b/>
              </w:rPr>
            </w:pPr>
            <w:r>
              <w:rPr>
                <w:b/>
              </w:rPr>
              <w:t>ESG</w:t>
            </w:r>
          </w:p>
        </w:tc>
        <w:tc>
          <w:tcPr>
            <w:tcW w:w="990" w:type="dxa"/>
          </w:tcPr>
          <w:p w:rsidR="001711ED" w:rsidRDefault="00FF78B4">
            <w:pPr>
              <w:keepNext/>
              <w:widowControl w:val="0"/>
              <w:spacing w:after="0" w:line="240" w:lineRule="auto"/>
              <w:jc w:val="center"/>
              <w:rPr>
                <w:b/>
              </w:rPr>
            </w:pPr>
            <w:r>
              <w:rPr>
                <w:b/>
              </w:rPr>
              <w:t>HOPWA</w:t>
            </w:r>
          </w:p>
        </w:tc>
        <w:tc>
          <w:tcPr>
            <w:tcW w:w="720" w:type="dxa"/>
          </w:tcPr>
          <w:p w:rsidR="001711ED" w:rsidRDefault="00FF78B4">
            <w:pPr>
              <w:keepNext/>
              <w:widowControl w:val="0"/>
              <w:spacing w:after="0" w:line="240" w:lineRule="auto"/>
              <w:jc w:val="center"/>
              <w:rPr>
                <w:b/>
              </w:rPr>
            </w:pPr>
            <w:r>
              <w:rPr>
                <w:b/>
              </w:rPr>
              <w:t>HTF</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Total Number of Activities</w:t>
            </w:r>
          </w:p>
        </w:tc>
        <w:tc>
          <w:tcPr>
            <w:tcW w:w="810" w:type="dxa"/>
            <w:vAlign w:val="center"/>
          </w:tcPr>
          <w:p w:rsidR="001711ED" w:rsidRDefault="00FF78B4">
            <w:pPr>
              <w:spacing w:beforeAutospacing="1" w:afterAutospacing="1"/>
              <w:jc w:val="right"/>
            </w:pPr>
            <w:r>
              <w:rPr>
                <w:rFonts w:ascii="Arial" w:hAnsi="Arial"/>
                <w:color w:val="000000"/>
                <w:sz w:val="16"/>
              </w:rPr>
              <w:t>0</w:t>
            </w:r>
          </w:p>
        </w:tc>
        <w:tc>
          <w:tcPr>
            <w:tcW w:w="900" w:type="dxa"/>
            <w:vAlign w:val="center"/>
          </w:tcPr>
          <w:p w:rsidR="001711ED" w:rsidRDefault="00FF78B4">
            <w:pPr>
              <w:spacing w:beforeAutospacing="1" w:afterAutospacing="1"/>
              <w:jc w:val="right"/>
            </w:pPr>
            <w:r>
              <w:rPr>
                <w:rFonts w:ascii="Arial" w:hAnsi="Arial"/>
                <w:color w:val="000000"/>
                <w:sz w:val="16"/>
              </w:rPr>
              <w:t>1</w:t>
            </w:r>
          </w:p>
        </w:tc>
        <w:tc>
          <w:tcPr>
            <w:tcW w:w="720" w:type="dxa"/>
            <w:vAlign w:val="center"/>
          </w:tcPr>
          <w:p w:rsidR="001711ED" w:rsidRDefault="00FF78B4">
            <w:pPr>
              <w:spacing w:beforeAutospacing="1" w:afterAutospacing="1"/>
              <w:jc w:val="right"/>
            </w:pPr>
            <w:r>
              <w:rPr>
                <w:rFonts w:ascii="Arial" w:hAnsi="Arial"/>
                <w:color w:val="000000"/>
                <w:sz w:val="16"/>
              </w:rPr>
              <w:t>0</w:t>
            </w:r>
          </w:p>
        </w:tc>
        <w:tc>
          <w:tcPr>
            <w:tcW w:w="990" w:type="dxa"/>
            <w:vAlign w:val="center"/>
          </w:tcPr>
          <w:p w:rsidR="001711ED" w:rsidRDefault="00FF78B4">
            <w:pPr>
              <w:spacing w:beforeAutospacing="1" w:afterAutospacing="1"/>
              <w:jc w:val="right"/>
            </w:pPr>
            <w:r>
              <w:rPr>
                <w:rFonts w:ascii="Arial" w:hAnsi="Arial"/>
                <w:color w:val="000000"/>
                <w:sz w:val="16"/>
              </w:rPr>
              <w:t>0</w:t>
            </w:r>
          </w:p>
        </w:tc>
        <w:tc>
          <w:tcPr>
            <w:tcW w:w="720" w:type="dxa"/>
            <w:vAlign w:val="center"/>
          </w:tcPr>
          <w:p w:rsidR="001711ED" w:rsidRDefault="00FF78B4">
            <w:pPr>
              <w:spacing w:beforeAutospacing="1" w:afterAutospacing="1"/>
              <w:jc w:val="right"/>
            </w:pPr>
            <w:r>
              <w:rPr>
                <w:rFonts w:ascii="Arial" w:hAnsi="Arial"/>
                <w:color w:val="000000"/>
                <w:sz w:val="16"/>
              </w:rPr>
              <w:t>0</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Total Labor Hours</w:t>
            </w:r>
          </w:p>
        </w:tc>
        <w:tc>
          <w:tcPr>
            <w:tcW w:w="810" w:type="dxa"/>
            <w:vAlign w:val="center"/>
          </w:tcPr>
          <w:p w:rsidR="001711ED" w:rsidRDefault="00FF78B4">
            <w:pPr>
              <w:spacing w:beforeAutospacing="1" w:afterAutospacing="1"/>
              <w:jc w:val="right"/>
            </w:pPr>
            <w:r>
              <w:rPr>
                <w:rFonts w:ascii="Arial" w:hAnsi="Arial"/>
                <w:color w:val="000000"/>
                <w:sz w:val="16"/>
              </w:rPr>
              <w:t>0</w:t>
            </w:r>
          </w:p>
        </w:tc>
        <w:tc>
          <w:tcPr>
            <w:tcW w:w="900" w:type="dxa"/>
            <w:vAlign w:val="center"/>
          </w:tcPr>
          <w:p w:rsidR="001711ED" w:rsidRDefault="00FF78B4">
            <w:pPr>
              <w:spacing w:beforeAutospacing="1" w:afterAutospacing="1"/>
              <w:jc w:val="right"/>
            </w:pPr>
            <w:r>
              <w:rPr>
                <w:rFonts w:ascii="Arial" w:hAnsi="Arial"/>
                <w:color w:val="000000"/>
                <w:sz w:val="16"/>
              </w:rPr>
              <w:t>20,789</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Total Section 3 Worker Hours</w:t>
            </w:r>
          </w:p>
        </w:tc>
        <w:tc>
          <w:tcPr>
            <w:tcW w:w="810" w:type="dxa"/>
            <w:vAlign w:val="center"/>
          </w:tcPr>
          <w:p w:rsidR="001711ED" w:rsidRDefault="00FF78B4">
            <w:pPr>
              <w:spacing w:beforeAutospacing="1" w:afterAutospacing="1"/>
              <w:jc w:val="right"/>
            </w:pPr>
            <w:r>
              <w:rPr>
                <w:rFonts w:ascii="Arial" w:hAnsi="Arial"/>
                <w:color w:val="000000"/>
                <w:sz w:val="16"/>
              </w:rPr>
              <w:t>0</w:t>
            </w:r>
          </w:p>
        </w:tc>
        <w:tc>
          <w:tcPr>
            <w:tcW w:w="900" w:type="dxa"/>
            <w:vAlign w:val="center"/>
          </w:tcPr>
          <w:p w:rsidR="001711ED" w:rsidRDefault="00FF78B4">
            <w:pPr>
              <w:spacing w:beforeAutospacing="1" w:afterAutospacing="1"/>
              <w:jc w:val="right"/>
            </w:pPr>
            <w:r>
              <w:rPr>
                <w:rFonts w:ascii="Arial" w:hAnsi="Arial"/>
                <w:color w:val="000000"/>
                <w:sz w:val="16"/>
              </w:rPr>
              <w:t>4,392</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Total Targeted Section 3 Worker Hours</w:t>
            </w:r>
          </w:p>
        </w:tc>
        <w:tc>
          <w:tcPr>
            <w:tcW w:w="810" w:type="dxa"/>
            <w:vAlign w:val="center"/>
          </w:tcPr>
          <w:p w:rsidR="001711ED" w:rsidRDefault="00FF78B4">
            <w:pPr>
              <w:spacing w:beforeAutospacing="1" w:afterAutospacing="1"/>
              <w:jc w:val="right"/>
            </w:pPr>
            <w:r>
              <w:rPr>
                <w:rFonts w:ascii="Arial" w:hAnsi="Arial"/>
                <w:color w:val="000000"/>
                <w:sz w:val="16"/>
              </w:rPr>
              <w:t>0</w:t>
            </w:r>
          </w:p>
        </w:tc>
        <w:tc>
          <w:tcPr>
            <w:tcW w:w="900" w:type="dxa"/>
            <w:vAlign w:val="center"/>
          </w:tcPr>
          <w:p w:rsidR="001711ED" w:rsidRDefault="00FF78B4">
            <w:pPr>
              <w:spacing w:beforeAutospacing="1" w:afterAutospacing="1"/>
              <w:jc w:val="right"/>
            </w:pPr>
            <w:r>
              <w:rPr>
                <w:rFonts w:ascii="Arial" w:hAnsi="Arial"/>
                <w:color w:val="000000"/>
                <w:sz w:val="16"/>
              </w:rPr>
              <w:t>0</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bl>
    <w:p w:rsidR="001711ED" w:rsidRDefault="00FF78B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51C28">
        <w:rPr>
          <w:rFonts w:asciiTheme="minorHAnsi" w:hAnsiTheme="minorHAnsi"/>
          <w:noProof/>
        </w:rPr>
        <w:t>14</w:t>
      </w:r>
      <w:r>
        <w:rPr>
          <w:rFonts w:asciiTheme="minorHAnsi" w:hAnsiTheme="minorHAnsi"/>
        </w:rPr>
        <w:fldChar w:fldCharType="end"/>
      </w:r>
      <w:r>
        <w:rPr>
          <w:rFonts w:asciiTheme="minorHAnsi" w:hAnsiTheme="minorHAnsi"/>
        </w:rPr>
        <w:t xml:space="preserve"> – Total Labor Hours</w:t>
      </w:r>
    </w:p>
    <w:p w:rsidR="001711ED" w:rsidRDefault="001711ED">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1711ED">
        <w:trPr>
          <w:cantSplit/>
        </w:trPr>
        <w:tc>
          <w:tcPr>
            <w:tcW w:w="5490" w:type="dxa"/>
          </w:tcPr>
          <w:p w:rsidR="001711ED" w:rsidRDefault="00FF78B4">
            <w:pPr>
              <w:keepNext/>
              <w:widowControl w:val="0"/>
              <w:tabs>
                <w:tab w:val="left" w:pos="2070"/>
              </w:tabs>
              <w:spacing w:after="0" w:line="240" w:lineRule="auto"/>
              <w:ind w:right="162"/>
              <w:jc w:val="center"/>
              <w:rPr>
                <w:b/>
              </w:rPr>
            </w:pPr>
            <w:r>
              <w:rPr>
                <w:b/>
              </w:rPr>
              <w:t>Qualitative Efforts - Number of Activities by Program</w:t>
            </w:r>
          </w:p>
        </w:tc>
        <w:tc>
          <w:tcPr>
            <w:tcW w:w="810" w:type="dxa"/>
          </w:tcPr>
          <w:p w:rsidR="001711ED" w:rsidRDefault="00FF78B4">
            <w:pPr>
              <w:keepNext/>
              <w:widowControl w:val="0"/>
              <w:spacing w:after="0" w:line="240" w:lineRule="auto"/>
              <w:jc w:val="center"/>
              <w:rPr>
                <w:b/>
              </w:rPr>
            </w:pPr>
            <w:r>
              <w:rPr>
                <w:b/>
              </w:rPr>
              <w:t>CDBG</w:t>
            </w:r>
          </w:p>
        </w:tc>
        <w:tc>
          <w:tcPr>
            <w:tcW w:w="900" w:type="dxa"/>
          </w:tcPr>
          <w:p w:rsidR="001711ED" w:rsidRDefault="00FF78B4">
            <w:pPr>
              <w:keepNext/>
              <w:widowControl w:val="0"/>
              <w:spacing w:after="0" w:line="240" w:lineRule="auto"/>
              <w:jc w:val="center"/>
              <w:rPr>
                <w:b/>
              </w:rPr>
            </w:pPr>
            <w:r>
              <w:rPr>
                <w:b/>
              </w:rPr>
              <w:t>HOME</w:t>
            </w:r>
          </w:p>
        </w:tc>
        <w:tc>
          <w:tcPr>
            <w:tcW w:w="720" w:type="dxa"/>
          </w:tcPr>
          <w:p w:rsidR="001711ED" w:rsidRDefault="00FF78B4">
            <w:pPr>
              <w:keepNext/>
              <w:widowControl w:val="0"/>
              <w:spacing w:after="0" w:line="240" w:lineRule="auto"/>
              <w:rPr>
                <w:b/>
              </w:rPr>
            </w:pPr>
            <w:r>
              <w:rPr>
                <w:b/>
              </w:rPr>
              <w:t>ESG</w:t>
            </w:r>
          </w:p>
        </w:tc>
        <w:tc>
          <w:tcPr>
            <w:tcW w:w="990" w:type="dxa"/>
          </w:tcPr>
          <w:p w:rsidR="001711ED" w:rsidRDefault="00FF78B4">
            <w:pPr>
              <w:keepNext/>
              <w:widowControl w:val="0"/>
              <w:spacing w:after="0" w:line="240" w:lineRule="auto"/>
              <w:jc w:val="center"/>
              <w:rPr>
                <w:b/>
              </w:rPr>
            </w:pPr>
            <w:r>
              <w:rPr>
                <w:b/>
              </w:rPr>
              <w:t>HOPWA</w:t>
            </w:r>
          </w:p>
        </w:tc>
        <w:tc>
          <w:tcPr>
            <w:tcW w:w="720" w:type="dxa"/>
          </w:tcPr>
          <w:p w:rsidR="001711ED" w:rsidRDefault="00FF78B4">
            <w:pPr>
              <w:keepNext/>
              <w:widowControl w:val="0"/>
              <w:spacing w:after="0" w:line="240" w:lineRule="auto"/>
              <w:jc w:val="center"/>
              <w:rPr>
                <w:b/>
              </w:rPr>
            </w:pPr>
            <w:r>
              <w:rPr>
                <w:b/>
              </w:rPr>
              <w:t>HTF</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Outreach efforts to generate job applicants who are Public Housing Targeted Workers</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1</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Outreach efforts to generate job applicants who are Other Funding Targeted Workers.</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1</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Direct, on-the job training (including apprenticeships).</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Indirect training such as arranging for, contracting for, or paying tuition for, off-site training.</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Technical assistance to help Section 3 workers compete for jobs (e.g., resume assistance, coaching).</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Outreach efforts to identify and secure bids from Section 3 business concerns.</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Technical assistance to help Section 3 business concerns understand and bid on contracts.</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1</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Division of contracts into smaller jobs to facilitate participation by Section 3 business concerns.</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 xml:space="preserve">Provided or connected residents with assistance in seeking employment including: drafting </w:t>
            </w:r>
            <w:proofErr w:type="spellStart"/>
            <w:r>
              <w:rPr>
                <w:rFonts w:ascii="Arial" w:hAnsi="Arial"/>
                <w:color w:val="25396E"/>
                <w:sz w:val="16"/>
              </w:rPr>
              <w:t>resumes,preparing</w:t>
            </w:r>
            <w:proofErr w:type="spellEnd"/>
            <w:r>
              <w:rPr>
                <w:rFonts w:ascii="Arial" w:hAnsi="Arial"/>
                <w:color w:val="25396E"/>
                <w:sz w:val="16"/>
              </w:rPr>
              <w:t xml:space="preserve"> for interviews, finding job opportunities, connecting residents to job placement services.</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Held one or more job fairs.</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Provided or connected residents with supportive services that can provide direct services or referrals.</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Provided or connected residents with supportive services that provide one or more of the following: work readiness health screenings, interview clothing, uniforms, test fees, transportation.</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Assisted residents with finding child care.</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Assisted residents to apply for, or attend community college or a four year educational institution.</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Assisted residents to apply for, or attend vocational/technical training.</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Assisted residents to obtain financial literacy training and/or coaching.</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Bonding assistance, guaranties, or other efforts to support viable bids from Section 3 business concerns.</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Provided or connected residents with training on computer use or online technologies.</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Promoting the use of a business registry designed to create opportunities for disadvantaged and small businesses.</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t>Outreach, engagement, or referrals with the state one-stop system, as designed in Section 121(e)(2) of the Workforce Innovation and Opportunity Act.</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r w:rsidR="001711ED">
        <w:trPr>
          <w:cantSplit/>
        </w:trPr>
        <w:tc>
          <w:tcPr>
            <w:tcW w:w="5490" w:type="dxa"/>
            <w:vAlign w:val="center"/>
          </w:tcPr>
          <w:p w:rsidR="001711ED" w:rsidRDefault="00FF78B4">
            <w:pPr>
              <w:spacing w:beforeAutospacing="1" w:afterAutospacing="1"/>
            </w:pPr>
            <w:r>
              <w:rPr>
                <w:rFonts w:ascii="Arial" w:hAnsi="Arial"/>
                <w:color w:val="25396E"/>
                <w:sz w:val="16"/>
              </w:rPr>
              <w:lastRenderedPageBreak/>
              <w:t>Other.</w:t>
            </w:r>
          </w:p>
        </w:tc>
        <w:tc>
          <w:tcPr>
            <w:tcW w:w="810" w:type="dxa"/>
            <w:vAlign w:val="center"/>
          </w:tcPr>
          <w:p w:rsidR="001711ED" w:rsidRDefault="00FF78B4">
            <w:pPr>
              <w:spacing w:beforeAutospacing="1" w:afterAutospacing="1"/>
              <w:jc w:val="right"/>
            </w:pPr>
            <w:r>
              <w:rPr>
                <w:rFonts w:ascii="Arial" w:hAnsi="Arial"/>
                <w:color w:val="000000"/>
                <w:sz w:val="16"/>
              </w:rPr>
              <w:t xml:space="preserve"> </w:t>
            </w:r>
          </w:p>
        </w:tc>
        <w:tc>
          <w:tcPr>
            <w:tcW w:w="90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c>
          <w:tcPr>
            <w:tcW w:w="990" w:type="dxa"/>
            <w:vAlign w:val="center"/>
          </w:tcPr>
          <w:p w:rsidR="001711ED" w:rsidRDefault="00FF78B4">
            <w:pPr>
              <w:spacing w:beforeAutospacing="1" w:afterAutospacing="1"/>
              <w:jc w:val="right"/>
            </w:pPr>
            <w:r>
              <w:rPr>
                <w:rFonts w:ascii="Arial" w:hAnsi="Arial"/>
                <w:color w:val="000000"/>
                <w:sz w:val="16"/>
              </w:rPr>
              <w:t xml:space="preserve"> </w:t>
            </w:r>
          </w:p>
        </w:tc>
        <w:tc>
          <w:tcPr>
            <w:tcW w:w="720" w:type="dxa"/>
            <w:vAlign w:val="center"/>
          </w:tcPr>
          <w:p w:rsidR="001711ED" w:rsidRDefault="00FF78B4">
            <w:pPr>
              <w:spacing w:beforeAutospacing="1" w:afterAutospacing="1"/>
              <w:jc w:val="right"/>
            </w:pPr>
            <w:r>
              <w:rPr>
                <w:rFonts w:ascii="Arial" w:hAnsi="Arial"/>
                <w:color w:val="000000"/>
                <w:sz w:val="16"/>
              </w:rPr>
              <w:t xml:space="preserve"> </w:t>
            </w:r>
          </w:p>
        </w:tc>
      </w:tr>
    </w:tbl>
    <w:p w:rsidR="001711ED" w:rsidRDefault="00FF78B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51C28">
        <w:rPr>
          <w:rFonts w:asciiTheme="minorHAnsi" w:hAnsiTheme="minorHAnsi"/>
          <w:noProof/>
        </w:rPr>
        <w:t>15</w:t>
      </w:r>
      <w:r>
        <w:rPr>
          <w:rFonts w:asciiTheme="minorHAnsi" w:hAnsiTheme="minorHAnsi"/>
        </w:rPr>
        <w:fldChar w:fldCharType="end"/>
      </w:r>
      <w:r>
        <w:rPr>
          <w:rFonts w:asciiTheme="minorHAnsi" w:hAnsiTheme="minorHAnsi"/>
        </w:rPr>
        <w:t xml:space="preserve"> – Qualitative Efforts - Number of Activities by Program</w:t>
      </w:r>
    </w:p>
    <w:p w:rsidR="001711ED" w:rsidRDefault="001711ED">
      <w:pPr>
        <w:widowControl w:val="0"/>
        <w:rPr>
          <w:b/>
          <w:sz w:val="24"/>
          <w:szCs w:val="24"/>
        </w:rPr>
      </w:pPr>
    </w:p>
    <w:p w:rsidR="001711ED" w:rsidRDefault="00FF78B4">
      <w:pPr>
        <w:widowControl w:val="0"/>
        <w:rPr>
          <w:b/>
          <w:sz w:val="24"/>
          <w:szCs w:val="24"/>
        </w:rPr>
      </w:pPr>
      <w:r>
        <w:rPr>
          <w:b/>
          <w:sz w:val="24"/>
          <w:szCs w:val="24"/>
        </w:rPr>
        <w:t>Narrative</w:t>
      </w:r>
    </w:p>
    <w:p w:rsidR="001711ED" w:rsidRDefault="00FF78B4">
      <w:pPr>
        <w:widowControl w:val="0"/>
        <w:spacing w:beforeAutospacing="1" w:afterAutospacing="1"/>
        <w:rPr>
          <w:rFonts w:cs="Arial"/>
        </w:rPr>
      </w:pPr>
      <w:r>
        <w:rPr>
          <w:rFonts w:cs="Arial"/>
        </w:rPr>
        <w:t xml:space="preserve">The construction of one (1) multi-family housing </w:t>
      </w:r>
      <w:proofErr w:type="spellStart"/>
      <w:r>
        <w:rPr>
          <w:rFonts w:cs="Arial"/>
        </w:rPr>
        <w:t>devleopment</w:t>
      </w:r>
      <w:proofErr w:type="spellEnd"/>
      <w:r>
        <w:rPr>
          <w:rFonts w:cs="Arial"/>
        </w:rPr>
        <w:t xml:space="preserve"> was funded with HOME Investment Partnerships Program funds was completed during FY2022 and subsidized with North Carolina Low-Income Housing Tax Credits (LITHC).  Section 3 was applicable to the project.</w:t>
      </w:r>
    </w:p>
    <w:p w:rsidR="001711ED" w:rsidRDefault="001711ED"/>
    <w:sectPr w:rsidR="001711E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1ED" w:rsidRDefault="00FF78B4">
      <w:r>
        <w:separator/>
      </w:r>
    </w:p>
  </w:endnote>
  <w:endnote w:type="continuationSeparator" w:id="0">
    <w:p w:rsidR="001711ED" w:rsidRDefault="00FF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1E0" w:firstRow="1" w:lastRow="1" w:firstColumn="1" w:lastColumn="1" w:noHBand="0" w:noVBand="0"/>
    </w:tblPr>
    <w:tblGrid>
      <w:gridCol w:w="828"/>
      <w:gridCol w:w="7976"/>
      <w:gridCol w:w="772"/>
    </w:tblGrid>
    <w:tr w:rsidR="001711ED">
      <w:trPr>
        <w:jc w:val="center"/>
      </w:trPr>
      <w:tc>
        <w:tcPr>
          <w:tcW w:w="828" w:type="dxa"/>
        </w:tcPr>
        <w:p w:rsidR="001711ED" w:rsidRDefault="001711ED">
          <w:pPr>
            <w:pStyle w:val="Footer"/>
            <w:spacing w:after="0" w:line="240" w:lineRule="auto"/>
            <w:jc w:val="center"/>
          </w:pPr>
        </w:p>
      </w:tc>
      <w:tc>
        <w:tcPr>
          <w:tcW w:w="7976" w:type="dxa"/>
        </w:tcPr>
        <w:p w:rsidR="001711ED" w:rsidRDefault="00FF78B4">
          <w:pPr>
            <w:pStyle w:val="Footer"/>
            <w:spacing w:after="0" w:line="240" w:lineRule="auto"/>
            <w:jc w:val="center"/>
          </w:pPr>
          <w:r>
            <w:t>CAPER</w:t>
          </w:r>
        </w:p>
      </w:tc>
      <w:tc>
        <w:tcPr>
          <w:tcW w:w="772" w:type="dxa"/>
        </w:tcPr>
        <w:p w:rsidR="001711ED" w:rsidRDefault="00FF78B4">
          <w:pPr>
            <w:pStyle w:val="Footer"/>
            <w:spacing w:after="0" w:line="240" w:lineRule="auto"/>
            <w:jc w:val="right"/>
          </w:pPr>
          <w:r>
            <w:fldChar w:fldCharType="begin"/>
          </w:r>
          <w:r>
            <w:instrText>page</w:instrText>
          </w:r>
          <w:r>
            <w:fldChar w:fldCharType="separate"/>
          </w:r>
          <w:r w:rsidR="00351C28">
            <w:rPr>
              <w:noProof/>
            </w:rPr>
            <w:t>22</w:t>
          </w:r>
          <w:r>
            <w:fldChar w:fldCharType="end"/>
          </w:r>
        </w:p>
      </w:tc>
    </w:tr>
  </w:tbl>
  <w:p w:rsidR="001711ED" w:rsidRDefault="00FF78B4">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1ED" w:rsidRDefault="00FF78B4">
      <w:r>
        <w:separator/>
      </w:r>
    </w:p>
  </w:footnote>
  <w:footnote w:type="continuationSeparator" w:id="0">
    <w:p w:rsidR="001711ED" w:rsidRDefault="00FF7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11ED"/>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C28"/>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 w:val="00FF78B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0643D632-97A5-418B-BFF3-5EA7774B921D}">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5392</Words>
  <Characters>32538</Characters>
  <Application>Microsoft Office Word</Application>
  <DocSecurity>0</DocSecurity>
  <Lines>271</Lines>
  <Paragraphs>75</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37855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Gehrig, Kenny</cp:lastModifiedBy>
  <cp:revision>3</cp:revision>
  <dcterms:created xsi:type="dcterms:W3CDTF">2024-08-12T13:01:00Z</dcterms:created>
  <dcterms:modified xsi:type="dcterms:W3CDTF">2024-08-12T13:55:00Z</dcterms:modified>
</cp:coreProperties>
</file>